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sidRPr="00FF557A">
        <w:rPr>
          <w:rFonts w:ascii="Arial" w:eastAsiaTheme="majorEastAsia" w:hAnsi="Arial" w:cs="Arial"/>
          <w:b/>
          <w:bCs/>
          <w:caps/>
          <w:color w:val="002F5D"/>
          <w:sz w:val="22"/>
          <w:szCs w:val="22"/>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JURISPRUDENCIA</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sidRPr="004407D1">
        <w:rPr>
          <w:rFonts w:ascii="Arial" w:hAnsi="Arial" w:cs="Arial"/>
          <w:b/>
          <w:bCs/>
          <w:caps/>
          <w:color w:val="376889"/>
          <w:sz w:val="21"/>
          <w:szCs w:val="21"/>
        </w:rPr>
        <w:t>GANANCIAS. GANANCIAS DE PRIMERA CATEGORÍA. INMUEBLES. VALOR LOCATIVO PRESUNTO. VALUACIONES. PROCEDIMIENTO</w:t>
      </w:r>
    </w:p>
    <w:p w:rsidR="004407D1" w:rsidRP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4407D1" w:rsidRDefault="004407D1" w:rsidP="004407D1">
      <w:pPr>
        <w:pStyle w:val="NormalWeb"/>
        <w:spacing w:before="0" w:beforeAutospacing="0" w:after="0" w:afterAutospacing="0" w:line="360" w:lineRule="auto"/>
        <w:jc w:val="both"/>
        <w:rPr>
          <w:rFonts w:ascii="Arial" w:eastAsia="Times New Roman" w:hAnsi="Arial" w:cs="Arial"/>
          <w:color w:val="666666"/>
          <w:sz w:val="20"/>
          <w:szCs w:val="20"/>
        </w:rPr>
      </w:pPr>
      <w:r w:rsidRPr="004407D1">
        <w:rPr>
          <w:rFonts w:ascii="Arial" w:eastAsia="Times New Roman" w:hAnsi="Arial" w:cs="Arial"/>
          <w:color w:val="666666"/>
          <w:sz w:val="20"/>
          <w:szCs w:val="20"/>
        </w:rPr>
        <w:t>Se confirmaron las determinaciones del impuesto por considerar el valor locativo presunto de nueve inmuebles, en los términos de lo dispuesto por los artículos 41 y 42 de la ley del impuesto a las ganancias, así como por el artículo 56 de su decreto reglamentario.</w:t>
      </w:r>
    </w:p>
    <w:p w:rsidR="004407D1" w:rsidRDefault="004407D1" w:rsidP="004407D1">
      <w:pPr>
        <w:pStyle w:val="NormalWeb"/>
        <w:spacing w:before="0" w:beforeAutospacing="0" w:after="0" w:afterAutospacing="0" w:line="360" w:lineRule="auto"/>
        <w:jc w:val="both"/>
        <w:rPr>
          <w:rFonts w:ascii="Arial" w:eastAsia="Times New Roman" w:hAnsi="Arial" w:cs="Arial"/>
          <w:color w:val="666666"/>
          <w:sz w:val="17"/>
          <w:szCs w:val="17"/>
        </w:rPr>
      </w:pPr>
      <w:r w:rsidRPr="004407D1">
        <w:rPr>
          <w:rFonts w:ascii="Arial" w:eastAsia="Times New Roman" w:hAnsi="Arial" w:cs="Arial"/>
          <w:color w:val="666666"/>
          <w:sz w:val="20"/>
          <w:szCs w:val="20"/>
        </w:rPr>
        <w:t>El Ente Fiscal, para estimar el valor, recurrió a dos martilleros de conocidas inmobiliarias y al Colegio de Martilleros y Corredores Públicos de La Plata, surgiendo de dicha prueba que, si bien el valor es “estimado”, se contempla para su valuación el entorno, es decir, la ubicación o zona, y los metros cuadrados, relacionándose con inmuebles de características similares en la zona bajo análisis. El Tribunal Fiscal de la Nación dio por válido el procedimiento.</w:t>
      </w:r>
      <w:r w:rsidRPr="004407D1">
        <w:rPr>
          <w:rFonts w:ascii="Arial" w:eastAsia="Times New Roman" w:hAnsi="Arial" w:cs="Arial"/>
          <w:color w:val="666666"/>
          <w:sz w:val="17"/>
          <w:szCs w:val="17"/>
        </w:rPr>
        <w:t xml:space="preserve"> </w:t>
      </w:r>
    </w:p>
    <w:p w:rsidR="004407D1" w:rsidRPr="004407D1" w:rsidRDefault="004407D1" w:rsidP="004407D1">
      <w:pPr>
        <w:pStyle w:val="NormalWeb"/>
        <w:spacing w:before="0" w:beforeAutospacing="0" w:after="0" w:afterAutospacing="0" w:line="360" w:lineRule="auto"/>
        <w:jc w:val="both"/>
        <w:rPr>
          <w:rFonts w:ascii="Arial" w:eastAsiaTheme="majorEastAsia" w:hAnsi="Arial" w:cs="Arial"/>
          <w:b/>
          <w:bCs/>
          <w:caps/>
          <w:color w:val="002F5D"/>
          <w:sz w:val="14"/>
          <w:szCs w:val="14"/>
        </w:rPr>
      </w:pPr>
      <w:r w:rsidRPr="004407D1">
        <w:rPr>
          <w:rFonts w:ascii="Arial" w:eastAsia="Times New Roman" w:hAnsi="Arial" w:cs="Arial"/>
          <w:color w:val="666666"/>
          <w:sz w:val="14"/>
          <w:szCs w:val="14"/>
        </w:rPr>
        <w:t>BEILISON, EDUARDO FEDERICO S/APELACIÓN IMPUESTO A LAS GANANCIAS - TRIB. FISCAL NAC. - SALA B - 12/10/2018</w:t>
      </w:r>
    </w:p>
    <w:p w:rsidR="002514CE" w:rsidRDefault="002514CE" w:rsidP="008E201C">
      <w:pPr>
        <w:pStyle w:val="NormalWeb"/>
        <w:spacing w:before="0" w:beforeAutospacing="0" w:after="0" w:afterAutospacing="0"/>
        <w:jc w:val="both"/>
        <w:rPr>
          <w:rFonts w:ascii="Arial" w:eastAsiaTheme="majorEastAsia" w:hAnsi="Arial" w:cs="Arial"/>
          <w:b/>
          <w:bCs/>
          <w:caps/>
          <w:color w:val="002F5D"/>
          <w:sz w:val="22"/>
          <w:szCs w:val="22"/>
        </w:rPr>
      </w:pPr>
    </w:p>
    <w:tbl>
      <w:tblPr>
        <w:tblW w:w="5000" w:type="pct"/>
        <w:tblCellSpacing w:w="37" w:type="dxa"/>
        <w:tblCellMar>
          <w:left w:w="0" w:type="dxa"/>
          <w:right w:w="0" w:type="dxa"/>
        </w:tblCellMar>
        <w:tblLook w:val="04A0"/>
      </w:tblPr>
      <w:tblGrid>
        <w:gridCol w:w="8937"/>
      </w:tblGrid>
      <w:tr w:rsidR="004407D1" w:rsidTr="004407D1">
        <w:trPr>
          <w:tblCellSpacing w:w="37" w:type="dxa"/>
        </w:trPr>
        <w:tc>
          <w:tcPr>
            <w:tcW w:w="4917" w:type="pct"/>
            <w:vAlign w:val="center"/>
            <w:hideMark/>
          </w:tcPr>
          <w:p w:rsidR="004407D1" w:rsidRDefault="004407D1" w:rsidP="004407D1">
            <w:pPr>
              <w:spacing w:after="15"/>
              <w:rPr>
                <w:rFonts w:ascii="Arial" w:eastAsia="Times New Roman" w:hAnsi="Arial" w:cs="Arial"/>
                <w:b/>
                <w:bCs/>
                <w:caps/>
                <w:color w:val="FFFFFF"/>
              </w:rPr>
            </w:pPr>
            <w:r w:rsidRPr="004407D1">
              <w:rPr>
                <w:rFonts w:ascii="Arial" w:hAnsi="Arial" w:cs="Arial"/>
                <w:b/>
                <w:bCs/>
                <w:caps/>
                <w:color w:val="376889"/>
                <w:sz w:val="21"/>
                <w:szCs w:val="21"/>
              </w:rPr>
              <w:t>Controladores fiscales</w:t>
            </w:r>
          </w:p>
        </w:tc>
      </w:tr>
      <w:tr w:rsidR="004407D1" w:rsidTr="004407D1">
        <w:trPr>
          <w:tblCellSpacing w:w="37" w:type="dxa"/>
        </w:trPr>
        <w:tc>
          <w:tcPr>
            <w:tcW w:w="4917" w:type="pct"/>
            <w:vAlign w:val="center"/>
          </w:tcPr>
          <w:p w:rsidR="004407D1" w:rsidRDefault="004407D1" w:rsidP="004407D1">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LA AFIP EXTENDIÓ POR CINCO MESES EL PLAZO PARA SU ACTUALIZACIÓN</w:t>
            </w:r>
          </w:p>
          <w:p w:rsidR="004407D1" w:rsidRDefault="004407D1" w:rsidP="004407D1">
            <w:pPr>
              <w:pStyle w:val="NormalWeb"/>
              <w:spacing w:before="0" w:beforeAutospacing="0" w:after="0" w:afterAutospacing="0"/>
              <w:jc w:val="both"/>
              <w:rPr>
                <w:rFonts w:ascii="Arial" w:hAnsi="Arial" w:cs="Arial"/>
                <w:b/>
                <w:bCs/>
                <w:caps/>
                <w:color w:val="376889"/>
                <w:sz w:val="21"/>
                <w:szCs w:val="21"/>
              </w:rPr>
            </w:pPr>
          </w:p>
          <w:p w:rsidR="004407D1" w:rsidRDefault="004407D1" w:rsidP="004407D1">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AFIP informa por gacetilla de prensa que ha prorrogado los plazos para adquirir y utilizar controladores fiscales de “vieja tecnología” e implementar de manera obligatoria los equipos de “nueva tecnología”.</w:t>
            </w:r>
          </w:p>
          <w:p w:rsidR="004407D1" w:rsidRDefault="004407D1" w:rsidP="004407D1">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En este sentido, señala que el límite para que las empresas proveedoras puedan comercializar y efectuar recambios de memorias de equipos de “vieja tecnología” se prorrogó para fines de agosto de 2019, y vencido este nuevo plazo, solo se podrán cambiar las memorias de los controladores si presentan fallas técnicas durante el primer año de uso desde su alta.</w:t>
            </w:r>
          </w:p>
          <w:p w:rsidR="004407D1" w:rsidRDefault="004407D1" w:rsidP="004407D1">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Asimismo, para el pase obligatorio a “nueva tecnología” se estableció un cronograma conformado por rangos, según la cantidad de máquinas que tengan habilitadas los distintos usuarios, que comenzará el 1 de abril del 2021 con el primer grupo y finalizará el 30 de setiembre de ese año con el último grupo.</w:t>
            </w:r>
          </w:p>
          <w:p w:rsidR="004407D1" w:rsidRDefault="004407D1" w:rsidP="004407D1">
            <w:pPr>
              <w:spacing w:line="360" w:lineRule="auto"/>
              <w:jc w:val="both"/>
              <w:rPr>
                <w:rFonts w:ascii="Arial" w:eastAsia="Times New Roman" w:hAnsi="Arial" w:cs="Arial"/>
                <w:color w:val="666666"/>
                <w:sz w:val="17"/>
                <w:szCs w:val="17"/>
              </w:rPr>
            </w:pPr>
            <w:r>
              <w:rPr>
                <w:rFonts w:ascii="Arial" w:eastAsia="Times New Roman" w:hAnsi="Arial" w:cs="Arial"/>
                <w:color w:val="666666"/>
                <w:sz w:val="20"/>
                <w:szCs w:val="20"/>
              </w:rPr>
              <w:t>Además, el inicio de la utilización de equipos de “nueva tecnología” en el sector mayorista de alimentos y limpieza con una facturación mayor a los $ 50 millones en el ejercicio previo se trasladó al 1/9/2019.</w:t>
            </w:r>
            <w:r>
              <w:rPr>
                <w:rFonts w:ascii="Arial" w:eastAsia="Times New Roman" w:hAnsi="Arial" w:cs="Arial"/>
                <w:color w:val="666666"/>
                <w:sz w:val="17"/>
                <w:szCs w:val="17"/>
              </w:rPr>
              <w:t xml:space="preserve"> </w:t>
            </w:r>
          </w:p>
          <w:p w:rsidR="00D90A26" w:rsidRDefault="00D90A26" w:rsidP="004407D1">
            <w:pPr>
              <w:spacing w:line="360" w:lineRule="auto"/>
              <w:jc w:val="both"/>
              <w:rPr>
                <w:rFonts w:ascii="Arial" w:eastAsia="Times New Roman" w:hAnsi="Arial" w:cs="Arial"/>
                <w:color w:val="666666"/>
                <w:sz w:val="17"/>
                <w:szCs w:val="17"/>
              </w:rPr>
            </w:pPr>
          </w:p>
          <w:p w:rsidR="00D90A26" w:rsidRPr="00D90A26" w:rsidRDefault="00D90A26" w:rsidP="004407D1">
            <w:pPr>
              <w:spacing w:line="360" w:lineRule="auto"/>
              <w:jc w:val="both"/>
              <w:rPr>
                <w:rFonts w:ascii="Arial" w:hAnsi="Arial" w:cs="Arial"/>
                <w:b/>
                <w:bCs/>
                <w:caps/>
                <w:color w:val="376889"/>
                <w:sz w:val="21"/>
                <w:szCs w:val="21"/>
              </w:rPr>
            </w:pPr>
            <w:r w:rsidRPr="00D90A26">
              <w:rPr>
                <w:rFonts w:ascii="Arial" w:hAnsi="Arial" w:cs="Arial"/>
                <w:b/>
                <w:bCs/>
                <w:caps/>
                <w:color w:val="376889"/>
                <w:sz w:val="21"/>
                <w:szCs w:val="21"/>
              </w:rPr>
              <w:t>ESPACIO DE DIALOGO AFIP</w:t>
            </w:r>
          </w:p>
          <w:p w:rsidR="00D90A26" w:rsidRDefault="00D90A26" w:rsidP="00D90A26">
            <w:pPr>
              <w:autoSpaceDE w:val="0"/>
              <w:autoSpaceDN w:val="0"/>
              <w:adjustRightInd w:val="0"/>
              <w:rPr>
                <w:rFonts w:ascii="Arial" w:hAnsi="Arial" w:cs="Arial"/>
                <w:b/>
                <w:bCs/>
                <w:caps/>
                <w:color w:val="376889"/>
                <w:sz w:val="21"/>
                <w:szCs w:val="21"/>
              </w:rPr>
            </w:pPr>
            <w:r w:rsidRPr="00D90A26">
              <w:rPr>
                <w:rFonts w:ascii="Arial" w:hAnsi="Arial" w:cs="Arial"/>
                <w:b/>
                <w:bCs/>
                <w:caps/>
                <w:color w:val="376889"/>
                <w:sz w:val="21"/>
                <w:szCs w:val="21"/>
              </w:rPr>
              <w:lastRenderedPageBreak/>
              <w:t>Resoluciones Generales Nros. 4400 y 4401 .DECRETO Nº 1201/18.</w:t>
            </w:r>
          </w:p>
          <w:p w:rsidR="00D90A26" w:rsidRPr="00D90A26" w:rsidRDefault="00D90A26" w:rsidP="00D90A26">
            <w:pPr>
              <w:autoSpaceDE w:val="0"/>
              <w:autoSpaceDN w:val="0"/>
              <w:adjustRightInd w:val="0"/>
              <w:rPr>
                <w:rFonts w:ascii="Arial" w:hAnsi="Arial" w:cs="Arial"/>
                <w:b/>
                <w:bCs/>
                <w:caps/>
                <w:color w:val="376889"/>
                <w:sz w:val="21"/>
                <w:szCs w:val="21"/>
              </w:rPr>
            </w:pPr>
          </w:p>
          <w:p w:rsidR="00D90A26" w:rsidRDefault="00D90A26" w:rsidP="00D90A26">
            <w:pPr>
              <w:autoSpaceDE w:val="0"/>
              <w:autoSpaceDN w:val="0"/>
              <w:adjustRightInd w:val="0"/>
              <w:spacing w:line="360" w:lineRule="auto"/>
              <w:jc w:val="both"/>
              <w:rPr>
                <w:rFonts w:ascii="Arial" w:eastAsia="Times New Roman" w:hAnsi="Arial" w:cs="Arial"/>
                <w:color w:val="666666"/>
                <w:sz w:val="20"/>
                <w:szCs w:val="20"/>
              </w:rPr>
            </w:pPr>
            <w:r w:rsidRPr="00D90A26">
              <w:rPr>
                <w:rFonts w:ascii="Arial" w:eastAsia="Times New Roman" w:hAnsi="Arial" w:cs="Arial"/>
                <w:color w:val="666666"/>
                <w:sz w:val="20"/>
                <w:szCs w:val="20"/>
              </w:rPr>
              <w:t>El servicio de transporte internacional de cargas, previstos por el punto 13 del inc. h) del art. 7 de</w:t>
            </w:r>
          </w:p>
          <w:p w:rsidR="00D90A26" w:rsidRPr="00D90A26" w:rsidRDefault="00D90A26" w:rsidP="00D90A26">
            <w:pPr>
              <w:autoSpaceDE w:val="0"/>
              <w:autoSpaceDN w:val="0"/>
              <w:adjustRightInd w:val="0"/>
              <w:spacing w:line="360" w:lineRule="auto"/>
              <w:jc w:val="both"/>
              <w:rPr>
                <w:rFonts w:ascii="Arial" w:eastAsia="Times New Roman" w:hAnsi="Arial" w:cs="Arial"/>
                <w:color w:val="666666"/>
                <w:sz w:val="20"/>
                <w:szCs w:val="20"/>
              </w:rPr>
            </w:pPr>
            <w:r w:rsidRPr="00D90A26">
              <w:rPr>
                <w:rFonts w:ascii="Arial" w:eastAsia="Times New Roman" w:hAnsi="Arial" w:cs="Arial"/>
                <w:color w:val="666666"/>
                <w:sz w:val="20"/>
                <w:szCs w:val="20"/>
              </w:rPr>
              <w:t>la Ley del Impuesto al Valor Agregado, así como los servicios conexos previstos por el art. 34 del</w:t>
            </w:r>
          </w:p>
          <w:p w:rsidR="00D90A26" w:rsidRPr="00D90A26" w:rsidRDefault="00D90A26" w:rsidP="00D90A26">
            <w:pPr>
              <w:autoSpaceDE w:val="0"/>
              <w:autoSpaceDN w:val="0"/>
              <w:adjustRightInd w:val="0"/>
              <w:spacing w:line="360" w:lineRule="auto"/>
              <w:jc w:val="both"/>
              <w:rPr>
                <w:rFonts w:ascii="Arial" w:eastAsia="Times New Roman" w:hAnsi="Arial" w:cs="Arial"/>
                <w:color w:val="666666"/>
                <w:sz w:val="20"/>
                <w:szCs w:val="20"/>
              </w:rPr>
            </w:pPr>
            <w:r w:rsidRPr="00D90A26">
              <w:rPr>
                <w:rFonts w:ascii="Arial" w:eastAsia="Times New Roman" w:hAnsi="Arial" w:cs="Arial"/>
                <w:color w:val="666666"/>
                <w:sz w:val="20"/>
                <w:szCs w:val="20"/>
              </w:rPr>
              <w:t>Decreto Reglamentario de la ley del gravamen, ¿quedan incluidos en las disposiciones del Decreto</w:t>
            </w:r>
          </w:p>
          <w:p w:rsidR="00D90A26" w:rsidRPr="00D90A26" w:rsidRDefault="00D90A26" w:rsidP="00D90A26">
            <w:pPr>
              <w:autoSpaceDE w:val="0"/>
              <w:autoSpaceDN w:val="0"/>
              <w:adjustRightInd w:val="0"/>
              <w:spacing w:line="360" w:lineRule="auto"/>
              <w:jc w:val="both"/>
              <w:rPr>
                <w:rFonts w:ascii="Arial" w:eastAsia="Times New Roman" w:hAnsi="Arial" w:cs="Arial"/>
                <w:color w:val="666666"/>
                <w:sz w:val="20"/>
                <w:szCs w:val="20"/>
              </w:rPr>
            </w:pPr>
            <w:r w:rsidRPr="00D90A26">
              <w:rPr>
                <w:rFonts w:ascii="Arial" w:eastAsia="Times New Roman" w:hAnsi="Arial" w:cs="Arial"/>
                <w:color w:val="666666"/>
                <w:sz w:val="20"/>
                <w:szCs w:val="20"/>
              </w:rPr>
              <w:t>Nº 1.201/18, mediante el cual se establece un Derecho de Exportación para las exportaciones de</w:t>
            </w:r>
          </w:p>
          <w:p w:rsidR="00D90A26" w:rsidRDefault="00D90A26" w:rsidP="00D90A26">
            <w:pPr>
              <w:autoSpaceDE w:val="0"/>
              <w:autoSpaceDN w:val="0"/>
              <w:adjustRightInd w:val="0"/>
              <w:spacing w:line="360" w:lineRule="auto"/>
              <w:jc w:val="both"/>
              <w:rPr>
                <w:rFonts w:ascii="Calibri" w:hAnsi="Calibri" w:cs="Calibri"/>
                <w:sz w:val="23"/>
                <w:szCs w:val="23"/>
                <w:lang w:eastAsia="en-US"/>
              </w:rPr>
            </w:pPr>
            <w:proofErr w:type="gramStart"/>
            <w:r w:rsidRPr="00D90A26">
              <w:rPr>
                <w:rFonts w:ascii="Arial" w:eastAsia="Times New Roman" w:hAnsi="Arial" w:cs="Arial"/>
                <w:color w:val="666666"/>
                <w:sz w:val="20"/>
                <w:szCs w:val="20"/>
              </w:rPr>
              <w:t>servicios</w:t>
            </w:r>
            <w:proofErr w:type="gramEnd"/>
            <w:r w:rsidRPr="00D90A26">
              <w:rPr>
                <w:rFonts w:ascii="Arial" w:eastAsia="Times New Roman" w:hAnsi="Arial" w:cs="Arial"/>
                <w:color w:val="666666"/>
                <w:sz w:val="20"/>
                <w:szCs w:val="20"/>
              </w:rPr>
              <w:t xml:space="preserve">, y por tanto sujeto a lo normado por Resoluciones Generales </w:t>
            </w:r>
            <w:proofErr w:type="spellStart"/>
            <w:r w:rsidRPr="00D90A26">
              <w:rPr>
                <w:rFonts w:ascii="Arial" w:eastAsia="Times New Roman" w:hAnsi="Arial" w:cs="Arial"/>
                <w:color w:val="666666"/>
                <w:sz w:val="20"/>
                <w:szCs w:val="20"/>
              </w:rPr>
              <w:t>Nros</w:t>
            </w:r>
            <w:proofErr w:type="spellEnd"/>
            <w:r w:rsidRPr="00D90A26">
              <w:rPr>
                <w:rFonts w:ascii="Arial" w:eastAsia="Times New Roman" w:hAnsi="Arial" w:cs="Arial"/>
                <w:color w:val="666666"/>
                <w:sz w:val="20"/>
                <w:szCs w:val="20"/>
              </w:rPr>
              <w:t>. 4400 y 4401?</w:t>
            </w:r>
          </w:p>
          <w:p w:rsidR="00D90A26" w:rsidRPr="00D90A26" w:rsidRDefault="00D90A26" w:rsidP="00D90A26">
            <w:pPr>
              <w:autoSpaceDE w:val="0"/>
              <w:autoSpaceDN w:val="0"/>
              <w:adjustRightInd w:val="0"/>
              <w:rPr>
                <w:rFonts w:ascii="Arial" w:hAnsi="Arial" w:cs="Arial"/>
                <w:b/>
                <w:bCs/>
                <w:caps/>
                <w:color w:val="376889"/>
                <w:sz w:val="21"/>
                <w:szCs w:val="21"/>
              </w:rPr>
            </w:pPr>
            <w:r w:rsidRPr="00D90A26">
              <w:rPr>
                <w:rFonts w:ascii="Arial" w:hAnsi="Arial" w:cs="Arial"/>
                <w:b/>
                <w:bCs/>
                <w:caps/>
                <w:color w:val="376889"/>
                <w:sz w:val="21"/>
                <w:szCs w:val="21"/>
              </w:rPr>
              <w:t>Respuesta de AFIP</w:t>
            </w:r>
          </w:p>
          <w:p w:rsidR="00D90A26" w:rsidRDefault="00D90A26" w:rsidP="00D90A26">
            <w:pPr>
              <w:autoSpaceDE w:val="0"/>
              <w:autoSpaceDN w:val="0"/>
              <w:adjustRightInd w:val="0"/>
              <w:rPr>
                <w:rFonts w:ascii="Calibri,Bold" w:hAnsi="Calibri,Bold" w:cs="Calibri,Bold"/>
                <w:b/>
                <w:bCs/>
                <w:sz w:val="23"/>
                <w:szCs w:val="23"/>
                <w:lang w:eastAsia="en-US"/>
              </w:rPr>
            </w:pPr>
          </w:p>
          <w:p w:rsidR="00D90A26" w:rsidRPr="00D90A26" w:rsidRDefault="00D90A26" w:rsidP="00D90A26">
            <w:pPr>
              <w:autoSpaceDE w:val="0"/>
              <w:autoSpaceDN w:val="0"/>
              <w:adjustRightInd w:val="0"/>
              <w:spacing w:line="360" w:lineRule="auto"/>
              <w:jc w:val="both"/>
              <w:rPr>
                <w:rFonts w:ascii="Arial" w:eastAsia="Times New Roman" w:hAnsi="Arial" w:cs="Arial"/>
                <w:color w:val="666666"/>
                <w:sz w:val="20"/>
                <w:szCs w:val="20"/>
              </w:rPr>
            </w:pPr>
            <w:r w:rsidRPr="00D90A26">
              <w:rPr>
                <w:rFonts w:ascii="Arial" w:eastAsia="Times New Roman" w:hAnsi="Arial" w:cs="Arial"/>
                <w:color w:val="666666"/>
                <w:sz w:val="20"/>
                <w:szCs w:val="20"/>
              </w:rPr>
              <w:t>De acuerdo con la Ley del Impuesto al Valor Agregado, el transporte internacional no es una</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exportación de servicios, aún cuando al igual que esta tiene el tratamiento del artículo 43 –recupero del imp</w:t>
            </w:r>
            <w:r>
              <w:rPr>
                <w:rFonts w:ascii="Arial" w:eastAsia="Times New Roman" w:hAnsi="Arial" w:cs="Arial"/>
                <w:color w:val="666666"/>
                <w:sz w:val="20"/>
                <w:szCs w:val="20"/>
              </w:rPr>
              <w:t xml:space="preserve">uesto de las etapas anteriores. </w:t>
            </w:r>
            <w:r w:rsidRPr="00D90A26">
              <w:rPr>
                <w:rFonts w:ascii="Arial" w:eastAsia="Times New Roman" w:hAnsi="Arial" w:cs="Arial"/>
                <w:color w:val="666666"/>
                <w:sz w:val="20"/>
                <w:szCs w:val="20"/>
              </w:rPr>
              <w:t>Obsérvese que no se trata, en el caso del transporte internacional, de un servicio prestado en el</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país -al menos no en su totalidad-. Por eso, la ley del impuesto lo exime y le otorga el tratamiento</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antes indicado.</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Esto tiene su justificación en que no resulta posible para este tipo de prestaciones, aplicar un</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criterio de territorialidad para la imposición.</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Adicionalmente, no está de más señalar que las denominadas exportaciones de servicios están</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excluidas del objeto de la ley del impuesto. En este orden, si los servicios de transporte fueran</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también exportaciones de servicios, carecería de sentido la exención prevista por el texto legal.</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Teniendo en cuenta que la ley aduanera ha receptado la misma definición de exportación de</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servicios que la ley de IVA, debe interpretarse que no se encuentra alcanzado por los derechos de</w:t>
            </w:r>
            <w:r>
              <w:rPr>
                <w:rFonts w:ascii="Arial" w:eastAsia="Times New Roman" w:hAnsi="Arial" w:cs="Arial"/>
                <w:color w:val="666666"/>
                <w:sz w:val="20"/>
                <w:szCs w:val="20"/>
              </w:rPr>
              <w:t xml:space="preserve"> </w:t>
            </w:r>
            <w:r w:rsidRPr="00D90A26">
              <w:rPr>
                <w:rFonts w:ascii="Arial" w:eastAsia="Times New Roman" w:hAnsi="Arial" w:cs="Arial"/>
                <w:color w:val="666666"/>
                <w:sz w:val="20"/>
                <w:szCs w:val="20"/>
              </w:rPr>
              <w:t>exportación.</w:t>
            </w:r>
          </w:p>
          <w:p w:rsidR="00D90A26" w:rsidRDefault="00D90A26" w:rsidP="004407D1">
            <w:pPr>
              <w:spacing w:line="360" w:lineRule="auto"/>
              <w:jc w:val="both"/>
              <w:rPr>
                <w:rFonts w:ascii="Arial" w:eastAsia="Times New Roman" w:hAnsi="Arial" w:cs="Arial"/>
                <w:color w:val="666666"/>
                <w:sz w:val="17"/>
                <w:szCs w:val="17"/>
              </w:rPr>
            </w:pPr>
          </w:p>
        </w:tc>
      </w:tr>
    </w:tbl>
    <w:p w:rsidR="00AC7C2C" w:rsidRPr="005F022C" w:rsidRDefault="005F022C" w:rsidP="005F022C">
      <w:pPr>
        <w:pStyle w:val="NormalWeb"/>
        <w:spacing w:before="0" w:beforeAutospacing="0" w:after="0" w:afterAutospacing="0"/>
        <w:jc w:val="center"/>
        <w:rPr>
          <w:rFonts w:ascii="Arial" w:hAnsi="Arial" w:cs="Arial"/>
          <w:b/>
          <w:bCs/>
          <w:caps/>
          <w:color w:val="7E4F6F"/>
        </w:rPr>
      </w:pPr>
      <w:r w:rsidRPr="005F022C">
        <w:rPr>
          <w:rFonts w:ascii="Arial" w:hAnsi="Arial" w:cs="Arial"/>
          <w:b/>
          <w:bCs/>
          <w:caps/>
          <w:color w:val="7E4F6F"/>
        </w:rPr>
        <w:lastRenderedPageBreak/>
        <w:t>LABORALES – PREVISIONALES</w:t>
      </w:r>
    </w:p>
    <w:p w:rsidR="005F022C" w:rsidRDefault="005F022C" w:rsidP="00AC7C2C">
      <w:pPr>
        <w:pStyle w:val="NormalWeb"/>
        <w:spacing w:before="0" w:beforeAutospacing="0" w:after="0" w:afterAutospacing="0"/>
        <w:jc w:val="both"/>
        <w:rPr>
          <w:rFonts w:ascii="Arial" w:hAnsi="Arial" w:cs="Arial"/>
          <w:b/>
          <w:bCs/>
          <w:caps/>
          <w:color w:val="7E4F6F"/>
          <w:sz w:val="18"/>
          <w:szCs w:val="18"/>
        </w:rPr>
      </w:pPr>
    </w:p>
    <w:p w:rsidR="004407D1" w:rsidRDefault="004407D1" w:rsidP="004407D1">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INCREMENTO DE LOS APORTES A PARTIR DEL DEVENGADO MARZO DE 2019</w:t>
      </w:r>
    </w:p>
    <w:p w:rsidR="004407D1" w:rsidRDefault="004407D1" w:rsidP="004407D1">
      <w:pPr>
        <w:pStyle w:val="NormalWeb"/>
        <w:spacing w:before="0" w:beforeAutospacing="0" w:after="0" w:afterAutospacing="0"/>
        <w:jc w:val="both"/>
        <w:rPr>
          <w:rFonts w:ascii="Arial" w:hAnsi="Arial" w:cs="Arial"/>
          <w:b/>
          <w:bCs/>
          <w:caps/>
          <w:color w:val="7E4F6F"/>
          <w:sz w:val="21"/>
          <w:szCs w:val="21"/>
        </w:rPr>
      </w:pPr>
    </w:p>
    <w:p w:rsidR="004407D1" w:rsidRDefault="004407D1" w:rsidP="004407D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AFIP dio a conocer los nuevos valores de los aportes mensuales de los trabajadores autónomos con destino a la Seguridad Social que se incrementan a partir del mes devengado marzo 2019 -con vencimiento durante el mes de abril 2019-, por aplicación del régimen de movilidad dispuesto por la ley 27426</w:t>
      </w:r>
    </w:p>
    <w:p w:rsidR="004407D1" w:rsidRPr="004407D1" w:rsidRDefault="004407D1" w:rsidP="004407D1">
      <w:pPr>
        <w:spacing w:before="100" w:beforeAutospacing="1" w:after="100" w:afterAutospacing="1"/>
        <w:rPr>
          <w:rFonts w:ascii="Arial" w:hAnsi="Arial" w:cs="Arial"/>
          <w:b/>
          <w:bCs/>
          <w:caps/>
          <w:color w:val="7E4F6F"/>
          <w:sz w:val="21"/>
          <w:szCs w:val="21"/>
        </w:rPr>
      </w:pPr>
      <w:r w:rsidRPr="004407D1">
        <w:rPr>
          <w:rFonts w:ascii="Arial" w:hAnsi="Arial" w:cs="Arial"/>
          <w:b/>
          <w:bCs/>
          <w:caps/>
          <w:color w:val="7E4F6F"/>
          <w:sz w:val="21"/>
          <w:szCs w:val="21"/>
        </w:rPr>
        <w:t>APORTES MENSUALES DE LOS TRABAJADORES AUTÓNOMOS</w:t>
      </w:r>
    </w:p>
    <w:p w:rsidR="004407D1" w:rsidRPr="004407D1" w:rsidRDefault="004407D1" w:rsidP="004407D1">
      <w:pPr>
        <w:spacing w:before="100" w:beforeAutospacing="1" w:after="100" w:afterAutospacing="1"/>
        <w:rPr>
          <w:rFonts w:ascii="Arial" w:hAnsi="Arial" w:cs="Arial"/>
          <w:b/>
          <w:bCs/>
          <w:caps/>
          <w:color w:val="7E4F6F"/>
          <w:sz w:val="21"/>
          <w:szCs w:val="21"/>
        </w:rPr>
      </w:pPr>
      <w:r w:rsidRPr="004407D1">
        <w:rPr>
          <w:rFonts w:ascii="Arial" w:hAnsi="Arial" w:cs="Arial"/>
          <w:b/>
          <w:bCs/>
          <w:caps/>
          <w:color w:val="7E4F6F"/>
          <w:sz w:val="21"/>
          <w:szCs w:val="21"/>
        </w:rPr>
        <w:t>Categorías mínimas de revista</w:t>
      </w:r>
    </w:p>
    <w:tbl>
      <w:tblPr>
        <w:tblW w:w="5169"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885"/>
        <w:gridCol w:w="790"/>
        <w:gridCol w:w="652"/>
        <w:gridCol w:w="652"/>
        <w:gridCol w:w="652"/>
        <w:gridCol w:w="652"/>
        <w:gridCol w:w="652"/>
        <w:gridCol w:w="652"/>
        <w:gridCol w:w="652"/>
        <w:gridCol w:w="652"/>
        <w:gridCol w:w="652"/>
        <w:gridCol w:w="698"/>
      </w:tblGrid>
      <w:tr w:rsidR="004407D1" w:rsidRPr="00061957" w:rsidTr="004407D1">
        <w:trPr>
          <w:trHeight w:val="173"/>
          <w:tblCellSpacing w:w="15" w:type="dxa"/>
        </w:trPr>
        <w:tc>
          <w:tcPr>
            <w:tcW w:w="0" w:type="auto"/>
            <w:vMerge w:val="restart"/>
            <w:shd w:val="clear" w:color="auto" w:fill="808080"/>
            <w:vAlign w:val="center"/>
            <w:hideMark/>
          </w:tcPr>
          <w:p w:rsidR="004407D1" w:rsidRPr="00061957" w:rsidRDefault="004407D1" w:rsidP="004407D1">
            <w:pPr>
              <w:spacing w:before="100" w:beforeAutospacing="1" w:after="100" w:afterAutospacing="1" w:line="165" w:lineRule="atLeast"/>
              <w:rPr>
                <w:rFonts w:asciiTheme="minorHAnsi" w:eastAsia="Times New Roman" w:hAnsiTheme="minorHAnsi"/>
                <w:sz w:val="16"/>
                <w:szCs w:val="16"/>
              </w:rPr>
            </w:pPr>
            <w:r w:rsidRPr="00061957">
              <w:rPr>
                <w:rFonts w:asciiTheme="minorHAnsi" w:eastAsia="Times New Roman" w:hAnsiTheme="minorHAnsi"/>
                <w:sz w:val="16"/>
                <w:szCs w:val="16"/>
              </w:rPr>
              <w:t>Concepto</w:t>
            </w:r>
          </w:p>
        </w:tc>
        <w:tc>
          <w:tcPr>
            <w:tcW w:w="0" w:type="auto"/>
            <w:vMerge w:val="restart"/>
            <w:shd w:val="clear" w:color="auto" w:fill="808080"/>
            <w:vAlign w:val="center"/>
            <w:hideMark/>
          </w:tcPr>
          <w:p w:rsidR="004407D1" w:rsidRPr="00061957" w:rsidRDefault="004407D1" w:rsidP="004407D1">
            <w:pPr>
              <w:spacing w:before="100" w:beforeAutospacing="1" w:after="100" w:afterAutospacing="1" w:line="165" w:lineRule="atLeast"/>
              <w:rPr>
                <w:rFonts w:asciiTheme="minorHAnsi" w:eastAsia="Times New Roman" w:hAnsiTheme="minorHAnsi"/>
                <w:sz w:val="16"/>
                <w:szCs w:val="16"/>
              </w:rPr>
            </w:pPr>
            <w:r w:rsidRPr="00061957">
              <w:rPr>
                <w:rFonts w:asciiTheme="minorHAnsi" w:eastAsia="Times New Roman" w:hAnsiTheme="minorHAnsi"/>
                <w:sz w:val="16"/>
                <w:szCs w:val="16"/>
              </w:rPr>
              <w:t>Porcentaje</w:t>
            </w:r>
          </w:p>
        </w:tc>
        <w:tc>
          <w:tcPr>
            <w:tcW w:w="0" w:type="auto"/>
            <w:gridSpan w:val="10"/>
            <w:shd w:val="clear" w:color="auto" w:fill="808080"/>
            <w:vAlign w:val="center"/>
            <w:hideMark/>
          </w:tcPr>
          <w:p w:rsidR="004407D1" w:rsidRPr="00061957" w:rsidRDefault="004407D1" w:rsidP="004407D1">
            <w:pPr>
              <w:spacing w:before="100" w:beforeAutospacing="1" w:after="100" w:afterAutospacing="1" w:line="165" w:lineRule="atLeast"/>
              <w:rPr>
                <w:rFonts w:asciiTheme="minorHAnsi" w:eastAsia="Times New Roman" w:hAnsiTheme="minorHAnsi"/>
                <w:sz w:val="16"/>
                <w:szCs w:val="16"/>
              </w:rPr>
            </w:pPr>
            <w:r w:rsidRPr="00061957">
              <w:rPr>
                <w:rFonts w:asciiTheme="minorHAnsi" w:eastAsia="Times New Roman" w:hAnsiTheme="minorHAnsi"/>
                <w:sz w:val="16"/>
                <w:szCs w:val="16"/>
              </w:rPr>
              <w:t>Vigencia: desde el 1/3/2019 al 31/5/2019</w:t>
            </w:r>
          </w:p>
        </w:tc>
      </w:tr>
      <w:tr w:rsidR="004407D1" w:rsidRPr="00061957" w:rsidTr="004407D1">
        <w:trPr>
          <w:trHeight w:val="142"/>
          <w:tblCellSpacing w:w="15" w:type="dxa"/>
        </w:trPr>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shd w:val="clear" w:color="auto" w:fill="808080"/>
            <w:tcMar>
              <w:top w:w="75" w:type="dxa"/>
              <w:left w:w="15" w:type="dxa"/>
              <w:bottom w:w="75" w:type="dxa"/>
              <w:right w:w="15" w:type="dxa"/>
            </w:tcMar>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I</w:t>
            </w:r>
          </w:p>
        </w:tc>
        <w:tc>
          <w:tcPr>
            <w:tcW w:w="0" w:type="auto"/>
            <w:shd w:val="clear" w:color="auto" w:fill="808080"/>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I</w:t>
            </w:r>
            <w:hyperlink r:id="rId8" w:anchor="L_AL_ALIC_AUTON_ACTIVOS_1_9_2011_q0" w:tgtFrame="_self" w:history="1">
              <w:r w:rsidRPr="00061957">
                <w:rPr>
                  <w:rFonts w:asciiTheme="minorHAnsi" w:eastAsia="Times New Roman" w:hAnsiTheme="minorHAnsi"/>
                  <w:color w:val="0000FF"/>
                  <w:sz w:val="16"/>
                  <w:szCs w:val="16"/>
                  <w:u w:val="single"/>
                </w:rPr>
                <w:t>'(*)</w:t>
              </w:r>
            </w:hyperlink>
          </w:p>
        </w:tc>
        <w:tc>
          <w:tcPr>
            <w:tcW w:w="0" w:type="auto"/>
            <w:shd w:val="clear" w:color="auto" w:fill="808080"/>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II</w:t>
            </w:r>
          </w:p>
        </w:tc>
        <w:tc>
          <w:tcPr>
            <w:tcW w:w="0" w:type="auto"/>
            <w:shd w:val="clear" w:color="auto" w:fill="808080"/>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II</w:t>
            </w:r>
            <w:hyperlink r:id="rId9" w:anchor="L_AL_ALIC_AUTON_ACTIVOS_1_9_2011_q0" w:tgtFrame="_self" w:history="1">
              <w:r w:rsidRPr="00061957">
                <w:rPr>
                  <w:rFonts w:asciiTheme="minorHAnsi" w:eastAsia="Times New Roman" w:hAnsiTheme="minorHAnsi"/>
                  <w:color w:val="0000FF"/>
                  <w:sz w:val="16"/>
                  <w:szCs w:val="16"/>
                  <w:u w:val="single"/>
                </w:rPr>
                <w:t>'(*)</w:t>
              </w:r>
            </w:hyperlink>
          </w:p>
        </w:tc>
        <w:tc>
          <w:tcPr>
            <w:tcW w:w="0" w:type="auto"/>
            <w:shd w:val="clear" w:color="auto" w:fill="808080"/>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III</w:t>
            </w:r>
          </w:p>
        </w:tc>
        <w:tc>
          <w:tcPr>
            <w:tcW w:w="0" w:type="auto"/>
            <w:shd w:val="clear" w:color="auto" w:fill="808080"/>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III'</w:t>
            </w:r>
            <w:hyperlink r:id="rId10" w:anchor="L_AL_ALIC_AUTON_ACTIVOS_1_9_2011_q0" w:tgtFrame="_self" w:history="1">
              <w:r w:rsidRPr="00061957">
                <w:rPr>
                  <w:rFonts w:asciiTheme="minorHAnsi" w:eastAsia="Times New Roman" w:hAnsiTheme="minorHAnsi"/>
                  <w:color w:val="0000FF"/>
                  <w:sz w:val="16"/>
                  <w:szCs w:val="16"/>
                  <w:u w:val="single"/>
                </w:rPr>
                <w:t>(*)</w:t>
              </w:r>
            </w:hyperlink>
          </w:p>
        </w:tc>
        <w:tc>
          <w:tcPr>
            <w:tcW w:w="0" w:type="auto"/>
            <w:shd w:val="clear" w:color="auto" w:fill="808080"/>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IV</w:t>
            </w:r>
          </w:p>
        </w:tc>
        <w:tc>
          <w:tcPr>
            <w:tcW w:w="0" w:type="auto"/>
            <w:shd w:val="clear" w:color="auto" w:fill="808080"/>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IV'</w:t>
            </w:r>
            <w:hyperlink r:id="rId11" w:anchor="L_AL_ALIC_AUTON_ACTIVOS_1_9_2011_q0" w:tgtFrame="_self" w:history="1">
              <w:r w:rsidRPr="00061957">
                <w:rPr>
                  <w:rFonts w:asciiTheme="minorHAnsi" w:eastAsia="Times New Roman" w:hAnsiTheme="minorHAnsi"/>
                  <w:color w:val="0000FF"/>
                  <w:sz w:val="16"/>
                  <w:szCs w:val="16"/>
                  <w:u w:val="single"/>
                </w:rPr>
                <w:t>(*)</w:t>
              </w:r>
            </w:hyperlink>
          </w:p>
        </w:tc>
        <w:tc>
          <w:tcPr>
            <w:tcW w:w="0" w:type="auto"/>
            <w:shd w:val="clear" w:color="auto" w:fill="808080"/>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V</w:t>
            </w:r>
          </w:p>
        </w:tc>
        <w:tc>
          <w:tcPr>
            <w:tcW w:w="0" w:type="auto"/>
            <w:shd w:val="clear" w:color="auto" w:fill="808080"/>
            <w:vAlign w:val="center"/>
            <w:hideMark/>
          </w:tcPr>
          <w:p w:rsidR="004407D1" w:rsidRPr="00061957" w:rsidRDefault="004407D1" w:rsidP="004407D1">
            <w:pPr>
              <w:spacing w:before="100" w:beforeAutospacing="1" w:after="100" w:afterAutospacing="1" w:line="135" w:lineRule="atLeast"/>
              <w:rPr>
                <w:rFonts w:asciiTheme="minorHAnsi" w:eastAsia="Times New Roman" w:hAnsiTheme="minorHAnsi"/>
                <w:sz w:val="16"/>
                <w:szCs w:val="16"/>
              </w:rPr>
            </w:pPr>
            <w:r w:rsidRPr="00061957">
              <w:rPr>
                <w:rFonts w:asciiTheme="minorHAnsi" w:eastAsia="Times New Roman" w:hAnsiTheme="minorHAnsi"/>
                <w:sz w:val="16"/>
                <w:szCs w:val="16"/>
              </w:rPr>
              <w:t>V'</w:t>
            </w:r>
            <w:hyperlink r:id="rId12" w:anchor="L_AL_ALIC_AUTON_ACTIVOS_1_9_2011_q0" w:tgtFrame="_self" w:history="1">
              <w:r w:rsidRPr="00061957">
                <w:rPr>
                  <w:rFonts w:asciiTheme="minorHAnsi" w:eastAsia="Times New Roman" w:hAnsiTheme="minorHAnsi"/>
                  <w:color w:val="0000FF"/>
                  <w:sz w:val="16"/>
                  <w:szCs w:val="16"/>
                  <w:u w:val="single"/>
                </w:rPr>
                <w:t>(*)</w:t>
              </w:r>
            </w:hyperlink>
          </w:p>
        </w:tc>
      </w:tr>
      <w:tr w:rsidR="004407D1" w:rsidRPr="00061957" w:rsidTr="004407D1">
        <w:trPr>
          <w:trHeight w:val="346"/>
          <w:tblCellSpacing w:w="15" w:type="dxa"/>
        </w:trPr>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Renta imponible</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p>
        </w:tc>
        <w:tc>
          <w:tcPr>
            <w:tcW w:w="0" w:type="auto"/>
            <w:gridSpan w:val="2"/>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6.034,99</w:t>
            </w:r>
          </w:p>
        </w:tc>
        <w:tc>
          <w:tcPr>
            <w:tcW w:w="0" w:type="auto"/>
            <w:gridSpan w:val="2"/>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8.448,95</w:t>
            </w:r>
          </w:p>
        </w:tc>
        <w:tc>
          <w:tcPr>
            <w:tcW w:w="0" w:type="auto"/>
            <w:gridSpan w:val="2"/>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12.069,99</w:t>
            </w:r>
          </w:p>
        </w:tc>
        <w:tc>
          <w:tcPr>
            <w:tcW w:w="0" w:type="auto"/>
            <w:gridSpan w:val="2"/>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19.311,96</w:t>
            </w:r>
          </w:p>
        </w:tc>
        <w:tc>
          <w:tcPr>
            <w:tcW w:w="0" w:type="auto"/>
            <w:gridSpan w:val="2"/>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26.553,94</w:t>
            </w:r>
          </w:p>
        </w:tc>
      </w:tr>
      <w:tr w:rsidR="004407D1" w:rsidRPr="00061957" w:rsidTr="004407D1">
        <w:trPr>
          <w:trHeight w:val="441"/>
          <w:tblCellSpacing w:w="15" w:type="dxa"/>
        </w:trPr>
        <w:tc>
          <w:tcPr>
            <w:tcW w:w="0" w:type="auto"/>
            <w:vMerge w:val="restart"/>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lastRenderedPageBreak/>
              <w:t>Aporte personal jubilación</w:t>
            </w:r>
          </w:p>
          <w:p w:rsidR="004407D1" w:rsidRPr="00061957" w:rsidRDefault="004407D1" w:rsidP="004407D1">
            <w:pPr>
              <w:spacing w:before="100" w:beforeAutospacing="1" w:after="100" w:afterAutospacing="1"/>
              <w:rPr>
                <w:rFonts w:asciiTheme="minorHAnsi" w:eastAsia="Times New Roman" w:hAnsiTheme="minorHAnsi"/>
                <w:sz w:val="16"/>
                <w:szCs w:val="16"/>
              </w:rPr>
            </w:pP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16</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965,60</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965,60</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1.351,83</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1.351,83</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1.931,20</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1.931,20</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3.089,91</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3.089,91</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4.248,63</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4.248,63</w:t>
            </w:r>
          </w:p>
        </w:tc>
      </w:tr>
      <w:tr w:rsidR="004407D1" w:rsidRPr="00061957" w:rsidTr="004407D1">
        <w:trPr>
          <w:trHeight w:val="142"/>
          <w:tblCellSpacing w:w="15" w:type="dxa"/>
        </w:trPr>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11/14</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663,85</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844,90</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929,38</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1.182,85</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1.327,70</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1.689,80</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2.124,31</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2.703,67</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2.920,93</w:t>
            </w:r>
          </w:p>
        </w:tc>
        <w:tc>
          <w:tcPr>
            <w:tcW w:w="0" w:type="auto"/>
            <w:vAlign w:val="center"/>
            <w:hideMark/>
          </w:tcPr>
          <w:p w:rsidR="004407D1" w:rsidRPr="00061957" w:rsidRDefault="004407D1" w:rsidP="004407D1">
            <w:pPr>
              <w:spacing w:before="100" w:beforeAutospacing="1" w:after="100" w:afterAutospacing="1" w:line="135"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3.717,55</w:t>
            </w:r>
          </w:p>
        </w:tc>
      </w:tr>
      <w:tr w:rsidR="004407D1" w:rsidRPr="00061957" w:rsidTr="004407D1">
        <w:trPr>
          <w:trHeight w:val="157"/>
          <w:tblCellSpacing w:w="15" w:type="dxa"/>
        </w:trPr>
        <w:tc>
          <w:tcPr>
            <w:tcW w:w="0" w:type="auto"/>
            <w:vAlign w:val="center"/>
            <w:hideMark/>
          </w:tcPr>
          <w:p w:rsidR="004407D1" w:rsidRPr="00061957" w:rsidRDefault="004407D1" w:rsidP="004407D1">
            <w:pPr>
              <w:spacing w:before="100" w:beforeAutospacing="1" w:after="100" w:afterAutospacing="1" w:line="150" w:lineRule="atLeast"/>
              <w:rPr>
                <w:rFonts w:asciiTheme="minorHAnsi" w:eastAsia="Times New Roman" w:hAnsiTheme="minorHAnsi"/>
                <w:sz w:val="16"/>
                <w:szCs w:val="16"/>
              </w:rPr>
            </w:pPr>
            <w:r w:rsidRPr="00061957">
              <w:rPr>
                <w:rFonts w:asciiTheme="minorHAnsi" w:eastAsia="Times New Roman" w:hAnsiTheme="minorHAnsi"/>
                <w:sz w:val="16"/>
                <w:szCs w:val="16"/>
              </w:rPr>
              <w:t>INSSJP</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5</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301,75</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301,75</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422,45</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422,45</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603,50</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603,50</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965,60</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965,60</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1.327,70</w:t>
            </w:r>
          </w:p>
        </w:tc>
        <w:tc>
          <w:tcPr>
            <w:tcW w:w="0" w:type="auto"/>
            <w:vAlign w:val="center"/>
            <w:hideMark/>
          </w:tcPr>
          <w:p w:rsidR="004407D1" w:rsidRPr="00061957" w:rsidRDefault="004407D1" w:rsidP="004407D1">
            <w:pPr>
              <w:spacing w:before="100" w:beforeAutospacing="1" w:after="100" w:afterAutospacing="1" w:line="150" w:lineRule="atLeast"/>
              <w:jc w:val="center"/>
              <w:rPr>
                <w:rFonts w:asciiTheme="minorHAnsi" w:eastAsia="Times New Roman" w:hAnsiTheme="minorHAnsi"/>
                <w:sz w:val="16"/>
                <w:szCs w:val="16"/>
              </w:rPr>
            </w:pPr>
            <w:r w:rsidRPr="00061957">
              <w:rPr>
                <w:rFonts w:asciiTheme="minorHAnsi" w:eastAsia="Times New Roman" w:hAnsiTheme="minorHAnsi"/>
                <w:sz w:val="16"/>
                <w:szCs w:val="16"/>
              </w:rPr>
              <w:t>1.327,70</w:t>
            </w:r>
          </w:p>
        </w:tc>
      </w:tr>
      <w:tr w:rsidR="004407D1" w:rsidRPr="00061957" w:rsidTr="004407D1">
        <w:trPr>
          <w:trHeight w:val="268"/>
          <w:tblCellSpacing w:w="15" w:type="dxa"/>
        </w:trPr>
        <w:tc>
          <w:tcPr>
            <w:tcW w:w="0" w:type="auto"/>
            <w:shd w:val="clear" w:color="auto" w:fill="BFBFBF"/>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Total aporte</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1.931,20</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2.112,25</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2.703,66</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2.957,13</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3.862,40</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4.224,50</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6.179,82</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6.759,18</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8.497,26</w:t>
            </w:r>
          </w:p>
        </w:tc>
        <w:tc>
          <w:tcPr>
            <w:tcW w:w="0" w:type="auto"/>
            <w:shd w:val="clear" w:color="auto" w:fill="BFBFBF"/>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b/>
                <w:bCs/>
                <w:sz w:val="16"/>
                <w:szCs w:val="16"/>
              </w:rPr>
              <w:t>9.293,88</w:t>
            </w:r>
          </w:p>
        </w:tc>
      </w:tr>
      <w:tr w:rsidR="004407D1" w:rsidRPr="00061957" w:rsidTr="004407D1">
        <w:trPr>
          <w:trHeight w:val="189"/>
          <w:tblCellSpacing w:w="15" w:type="dxa"/>
        </w:trPr>
        <w:tc>
          <w:tcPr>
            <w:tcW w:w="0" w:type="auto"/>
            <w:gridSpan w:val="12"/>
            <w:vAlign w:val="center"/>
            <w:hideMark/>
          </w:tcPr>
          <w:p w:rsidR="004407D1" w:rsidRPr="00061957" w:rsidRDefault="004407D1" w:rsidP="004407D1">
            <w:pPr>
              <w:spacing w:before="100" w:beforeAutospacing="1" w:after="100" w:afterAutospacing="1" w:line="180" w:lineRule="atLeast"/>
              <w:rPr>
                <w:rFonts w:asciiTheme="minorHAnsi" w:eastAsia="Times New Roman" w:hAnsiTheme="minorHAnsi"/>
                <w:sz w:val="16"/>
                <w:szCs w:val="16"/>
              </w:rPr>
            </w:pPr>
            <w:bookmarkStart w:id="2" w:name="L_AL_ALIC_AUTON_ACTIVOS_1_9_2011_q0"/>
            <w:bookmarkEnd w:id="2"/>
            <w:r w:rsidRPr="00061957">
              <w:rPr>
                <w:rFonts w:asciiTheme="minorHAnsi" w:eastAsia="Times New Roman" w:hAnsiTheme="minorHAnsi"/>
                <w:sz w:val="16"/>
                <w:szCs w:val="16"/>
              </w:rPr>
              <w:t>(*) Trabajadores autónomos con tareas diferenciadas</w:t>
            </w:r>
          </w:p>
        </w:tc>
      </w:tr>
    </w:tbl>
    <w:p w:rsidR="004407D1" w:rsidRPr="004407D1" w:rsidRDefault="004407D1" w:rsidP="004407D1">
      <w:pPr>
        <w:spacing w:before="100" w:beforeAutospacing="1" w:after="100" w:afterAutospacing="1"/>
        <w:rPr>
          <w:rFonts w:ascii="Arial" w:hAnsi="Arial" w:cs="Arial"/>
          <w:b/>
          <w:bCs/>
          <w:caps/>
          <w:color w:val="7E4F6F"/>
          <w:sz w:val="21"/>
          <w:szCs w:val="21"/>
        </w:rPr>
      </w:pPr>
      <w:r w:rsidRPr="004407D1">
        <w:rPr>
          <w:rFonts w:ascii="Arial" w:hAnsi="Arial" w:cs="Arial"/>
          <w:b/>
          <w:bCs/>
          <w:caps/>
          <w:color w:val="7E4F6F"/>
          <w:sz w:val="21"/>
          <w:szCs w:val="21"/>
        </w:rPr>
        <w:t>Actividades de los trabajadores autónomos</w:t>
      </w:r>
    </w:p>
    <w:tbl>
      <w:tblPr>
        <w:tblW w:w="500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5256"/>
        <w:gridCol w:w="1812"/>
        <w:gridCol w:w="747"/>
        <w:gridCol w:w="1124"/>
      </w:tblGrid>
      <w:tr w:rsidR="004407D1" w:rsidRPr="00061957" w:rsidTr="004407D1">
        <w:trPr>
          <w:trHeight w:val="387"/>
          <w:tblCellSpacing w:w="15" w:type="dxa"/>
        </w:trPr>
        <w:tc>
          <w:tcPr>
            <w:tcW w:w="0" w:type="auto"/>
            <w:shd w:val="clear" w:color="auto" w:fill="808080"/>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Grupos de actividades</w:t>
            </w:r>
          </w:p>
        </w:tc>
        <w:tc>
          <w:tcPr>
            <w:tcW w:w="0" w:type="auto"/>
            <w:shd w:val="clear" w:color="auto" w:fill="808080"/>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Ingresos brutos obtenidos en el último año</w:t>
            </w:r>
          </w:p>
        </w:tc>
        <w:tc>
          <w:tcPr>
            <w:tcW w:w="0" w:type="auto"/>
            <w:shd w:val="clear" w:color="auto" w:fill="808080"/>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Categorías</w:t>
            </w:r>
          </w:p>
        </w:tc>
        <w:tc>
          <w:tcPr>
            <w:tcW w:w="0" w:type="auto"/>
            <w:shd w:val="clear" w:color="auto" w:fill="808080"/>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Importe mensual</w:t>
            </w:r>
            <w:hyperlink r:id="rId13" w:anchor="L_AL_ALIC_AUTON_ACTIVOS_1_9_2011_q4" w:tgtFrame="_self" w:history="1">
              <w:r w:rsidRPr="00061957">
                <w:rPr>
                  <w:rFonts w:asciiTheme="minorHAnsi" w:eastAsia="Times New Roman" w:hAnsiTheme="minorHAnsi"/>
                  <w:color w:val="0000FF"/>
                  <w:sz w:val="16"/>
                  <w:szCs w:val="16"/>
                  <w:u w:val="single"/>
                </w:rPr>
                <w:t>(4)</w:t>
              </w:r>
            </w:hyperlink>
          </w:p>
        </w:tc>
      </w:tr>
      <w:tr w:rsidR="004407D1" w:rsidRPr="00061957" w:rsidTr="004407D1">
        <w:trPr>
          <w:trHeight w:val="223"/>
          <w:tblCellSpacing w:w="15" w:type="dxa"/>
        </w:trPr>
        <w:tc>
          <w:tcPr>
            <w:tcW w:w="0" w:type="auto"/>
            <w:vMerge w:val="restart"/>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Dirección, administración o conducción de sociedades comerciales o civiles, regulares o irregulares y socios de sociedades de cualquier tipo </w:t>
            </w:r>
          </w:p>
        </w:tc>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Mayores a $ 30.000</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V</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8.497,26</w:t>
            </w:r>
          </w:p>
        </w:tc>
      </w:tr>
      <w:tr w:rsidR="004407D1" w:rsidRPr="00061957" w:rsidTr="004407D1">
        <w:trPr>
          <w:trHeight w:val="143"/>
          <w:tblCellSpacing w:w="15" w:type="dxa"/>
        </w:trPr>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Pr>
                <w:rFonts w:asciiTheme="minorHAnsi" w:eastAsia="Times New Roman" w:hAnsiTheme="minorHAnsi"/>
                <w:sz w:val="16"/>
                <w:szCs w:val="16"/>
              </w:rPr>
              <w:t>Entre $ 15.001</w:t>
            </w:r>
            <w:r w:rsidRPr="00061957">
              <w:rPr>
                <w:rFonts w:asciiTheme="minorHAnsi" w:eastAsia="Times New Roman" w:hAnsiTheme="minorHAnsi"/>
                <w:sz w:val="16"/>
                <w:szCs w:val="16"/>
              </w:rPr>
              <w:t xml:space="preserve"> y $ 30.000</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IV</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6.179,82</w:t>
            </w:r>
          </w:p>
        </w:tc>
      </w:tr>
      <w:tr w:rsidR="004407D1" w:rsidRPr="00061957" w:rsidTr="004407D1">
        <w:trPr>
          <w:trHeight w:val="143"/>
          <w:tblCellSpacing w:w="15" w:type="dxa"/>
        </w:trPr>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u w:val="single"/>
              </w:rPr>
            </w:pPr>
            <w:r w:rsidRPr="00061957">
              <w:rPr>
                <w:rFonts w:asciiTheme="minorHAnsi" w:eastAsia="Times New Roman" w:hAnsiTheme="minorHAnsi"/>
                <w:sz w:val="16"/>
                <w:szCs w:val="16"/>
                <w:u w:val="single"/>
              </w:rPr>
              <w:t>Menores a $ 15.001</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III</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3.862,40</w:t>
            </w:r>
          </w:p>
        </w:tc>
      </w:tr>
      <w:tr w:rsidR="004407D1" w:rsidRPr="00061957" w:rsidTr="004407D1">
        <w:trPr>
          <w:trHeight w:val="223"/>
          <w:tblCellSpacing w:w="15" w:type="dxa"/>
        </w:trPr>
        <w:tc>
          <w:tcPr>
            <w:tcW w:w="0" w:type="auto"/>
            <w:vMerge w:val="restart"/>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Actividades no incluidas en el punto anterior que constituyan locaciones o prestaciones de servicios </w:t>
            </w:r>
          </w:p>
        </w:tc>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Mayores a $ 20.00</w:t>
            </w:r>
            <w:r>
              <w:rPr>
                <w:rFonts w:asciiTheme="minorHAnsi" w:eastAsia="Times New Roman" w:hAnsiTheme="minorHAnsi"/>
                <w:sz w:val="16"/>
                <w:szCs w:val="16"/>
              </w:rPr>
              <w:t>0</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II</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2.703,66</w:t>
            </w:r>
          </w:p>
        </w:tc>
      </w:tr>
      <w:tr w:rsidR="004407D1" w:rsidRPr="00061957" w:rsidTr="004407D1">
        <w:trPr>
          <w:trHeight w:val="143"/>
          <w:tblCellSpacing w:w="15" w:type="dxa"/>
        </w:trPr>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u w:val="single"/>
              </w:rPr>
            </w:pPr>
            <w:r w:rsidRPr="00061957">
              <w:rPr>
                <w:rFonts w:asciiTheme="minorHAnsi" w:eastAsia="Times New Roman" w:hAnsiTheme="minorHAnsi"/>
                <w:sz w:val="16"/>
                <w:szCs w:val="16"/>
                <w:u w:val="single"/>
              </w:rPr>
              <w:t>Menores a $ 20.001</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I</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1.931,20</w:t>
            </w:r>
          </w:p>
        </w:tc>
      </w:tr>
      <w:tr w:rsidR="004407D1" w:rsidRPr="00061957" w:rsidTr="004407D1">
        <w:trPr>
          <w:trHeight w:val="223"/>
          <w:tblCellSpacing w:w="15" w:type="dxa"/>
        </w:trPr>
        <w:tc>
          <w:tcPr>
            <w:tcW w:w="0" w:type="auto"/>
            <w:vMerge w:val="restart"/>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Resto de las actividades no comprendidas en los puntos anteriores</w:t>
            </w:r>
          </w:p>
        </w:tc>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Mayores a $ 25.000</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II</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2.703,66</w:t>
            </w:r>
          </w:p>
        </w:tc>
      </w:tr>
      <w:tr w:rsidR="004407D1" w:rsidRPr="00061957" w:rsidTr="004407D1">
        <w:trPr>
          <w:trHeight w:val="143"/>
          <w:tblCellSpacing w:w="15" w:type="dxa"/>
        </w:trPr>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u w:val="single"/>
              </w:rPr>
            </w:pPr>
            <w:r w:rsidRPr="00061957">
              <w:rPr>
                <w:rFonts w:asciiTheme="minorHAnsi" w:eastAsia="Times New Roman" w:hAnsiTheme="minorHAnsi"/>
                <w:sz w:val="16"/>
                <w:szCs w:val="16"/>
                <w:u w:val="single"/>
              </w:rPr>
              <w:t>Menores a $ 25.001</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I</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1.931,20</w:t>
            </w:r>
          </w:p>
        </w:tc>
      </w:tr>
      <w:tr w:rsidR="004407D1" w:rsidRPr="00061957" w:rsidTr="004407D1">
        <w:trPr>
          <w:trHeight w:val="194"/>
          <w:tblCellSpacing w:w="15" w:type="dxa"/>
        </w:trPr>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Afiliaciones voluntarias</w:t>
            </w:r>
          </w:p>
        </w:tc>
        <w:tc>
          <w:tcPr>
            <w:tcW w:w="0" w:type="auto"/>
            <w:vMerge w:val="restart"/>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Sin limitación</w:t>
            </w:r>
          </w:p>
        </w:tc>
        <w:tc>
          <w:tcPr>
            <w:tcW w:w="0" w:type="auto"/>
            <w:vMerge w:val="restart"/>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I</w:t>
            </w: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1.931,20</w:t>
            </w:r>
          </w:p>
        </w:tc>
      </w:tr>
      <w:tr w:rsidR="004407D1" w:rsidRPr="00061957" w:rsidTr="004407D1">
        <w:trPr>
          <w:trHeight w:val="194"/>
          <w:tblCellSpacing w:w="15" w:type="dxa"/>
        </w:trPr>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Menores de 18 años hasta 21 años</w:t>
            </w:r>
          </w:p>
        </w:tc>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vMerge/>
            <w:vAlign w:val="center"/>
            <w:hideMark/>
          </w:tcPr>
          <w:p w:rsidR="004407D1" w:rsidRPr="00061957" w:rsidRDefault="004407D1" w:rsidP="004407D1">
            <w:pPr>
              <w:jc w:val="right"/>
              <w:rPr>
                <w:rFonts w:asciiTheme="minorHAnsi" w:eastAsia="Times New Roman" w:hAnsiTheme="minorHAnsi"/>
                <w:sz w:val="16"/>
                <w:szCs w:val="16"/>
              </w:rPr>
            </w:pP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1.931,20</w:t>
            </w:r>
          </w:p>
        </w:tc>
      </w:tr>
      <w:tr w:rsidR="004407D1" w:rsidRPr="00061957" w:rsidTr="004407D1">
        <w:trPr>
          <w:trHeight w:val="194"/>
          <w:tblCellSpacing w:w="15" w:type="dxa"/>
        </w:trPr>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Jubilados por la ley 24241</w:t>
            </w:r>
          </w:p>
        </w:tc>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vMerge/>
            <w:vAlign w:val="center"/>
            <w:hideMark/>
          </w:tcPr>
          <w:p w:rsidR="004407D1" w:rsidRPr="00061957" w:rsidRDefault="004407D1" w:rsidP="004407D1">
            <w:pPr>
              <w:jc w:val="right"/>
              <w:rPr>
                <w:rFonts w:asciiTheme="minorHAnsi" w:eastAsia="Times New Roman" w:hAnsiTheme="minorHAnsi"/>
                <w:sz w:val="16"/>
                <w:szCs w:val="16"/>
              </w:rPr>
            </w:pP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1</w:t>
            </w:r>
            <w:r>
              <w:rPr>
                <w:rFonts w:asciiTheme="minorHAnsi" w:eastAsia="Times New Roman" w:hAnsiTheme="minorHAnsi"/>
                <w:sz w:val="16"/>
                <w:szCs w:val="16"/>
              </w:rPr>
              <w:t>.</w:t>
            </w:r>
            <w:r w:rsidRPr="00061957">
              <w:rPr>
                <w:rFonts w:asciiTheme="minorHAnsi" w:eastAsia="Times New Roman" w:hAnsiTheme="minorHAnsi"/>
                <w:sz w:val="16"/>
                <w:szCs w:val="16"/>
              </w:rPr>
              <w:t>629,45</w:t>
            </w:r>
          </w:p>
        </w:tc>
      </w:tr>
      <w:tr w:rsidR="004407D1" w:rsidRPr="00061957" w:rsidTr="004407D1">
        <w:trPr>
          <w:trHeight w:val="194"/>
          <w:tblCellSpacing w:w="15" w:type="dxa"/>
        </w:trPr>
        <w:tc>
          <w:tcPr>
            <w:tcW w:w="0" w:type="auto"/>
            <w:vAlign w:val="center"/>
            <w:hideMark/>
          </w:tcPr>
          <w:p w:rsidR="004407D1" w:rsidRPr="00061957" w:rsidRDefault="004407D1" w:rsidP="004407D1">
            <w:pPr>
              <w:spacing w:before="100" w:beforeAutospacing="1" w:after="100" w:afterAutospacing="1"/>
              <w:rPr>
                <w:rFonts w:asciiTheme="minorHAnsi" w:eastAsia="Times New Roman" w:hAnsiTheme="minorHAnsi"/>
                <w:sz w:val="16"/>
                <w:szCs w:val="16"/>
              </w:rPr>
            </w:pPr>
            <w:r w:rsidRPr="00061957">
              <w:rPr>
                <w:rFonts w:asciiTheme="minorHAnsi" w:eastAsia="Times New Roman" w:hAnsiTheme="minorHAnsi"/>
                <w:sz w:val="16"/>
                <w:szCs w:val="16"/>
              </w:rPr>
              <w:t>Amas de casa y ex agentes de la Administración Pública</w:t>
            </w:r>
          </w:p>
        </w:tc>
        <w:tc>
          <w:tcPr>
            <w:tcW w:w="0" w:type="auto"/>
            <w:vMerge/>
            <w:vAlign w:val="center"/>
            <w:hideMark/>
          </w:tcPr>
          <w:p w:rsidR="004407D1" w:rsidRPr="00061957" w:rsidRDefault="004407D1" w:rsidP="004407D1">
            <w:pPr>
              <w:rPr>
                <w:rFonts w:asciiTheme="minorHAnsi" w:eastAsia="Times New Roman" w:hAnsiTheme="minorHAnsi"/>
                <w:sz w:val="16"/>
                <w:szCs w:val="16"/>
              </w:rPr>
            </w:pPr>
          </w:p>
        </w:tc>
        <w:tc>
          <w:tcPr>
            <w:tcW w:w="0" w:type="auto"/>
            <w:vMerge/>
            <w:vAlign w:val="center"/>
            <w:hideMark/>
          </w:tcPr>
          <w:p w:rsidR="004407D1" w:rsidRPr="00061957" w:rsidRDefault="004407D1" w:rsidP="004407D1">
            <w:pPr>
              <w:jc w:val="right"/>
              <w:rPr>
                <w:rFonts w:asciiTheme="minorHAnsi" w:eastAsia="Times New Roman" w:hAnsiTheme="minorHAnsi"/>
                <w:sz w:val="16"/>
                <w:szCs w:val="16"/>
              </w:rPr>
            </w:pPr>
          </w:p>
        </w:tc>
        <w:tc>
          <w:tcPr>
            <w:tcW w:w="0" w:type="auto"/>
            <w:vAlign w:val="center"/>
            <w:hideMark/>
          </w:tcPr>
          <w:p w:rsidR="004407D1" w:rsidRPr="00061957" w:rsidRDefault="004407D1" w:rsidP="004407D1">
            <w:pPr>
              <w:spacing w:before="100" w:beforeAutospacing="1" w:after="100" w:afterAutospacing="1"/>
              <w:jc w:val="center"/>
              <w:rPr>
                <w:rFonts w:asciiTheme="minorHAnsi" w:eastAsia="Times New Roman" w:hAnsiTheme="minorHAnsi"/>
                <w:sz w:val="16"/>
                <w:szCs w:val="16"/>
              </w:rPr>
            </w:pPr>
            <w:r w:rsidRPr="00061957">
              <w:rPr>
                <w:rFonts w:asciiTheme="minorHAnsi" w:eastAsia="Times New Roman" w:hAnsiTheme="minorHAnsi"/>
                <w:sz w:val="16"/>
                <w:szCs w:val="16"/>
              </w:rPr>
              <w:t>663,85</w:t>
            </w:r>
          </w:p>
        </w:tc>
      </w:tr>
    </w:tbl>
    <w:p w:rsidR="00866BC8" w:rsidRDefault="00866BC8" w:rsidP="00866BC8">
      <w:pPr>
        <w:spacing w:line="360" w:lineRule="auto"/>
        <w:jc w:val="both"/>
        <w:rPr>
          <w:rFonts w:ascii="Arial" w:eastAsia="Times New Roman" w:hAnsi="Arial" w:cs="Arial"/>
          <w:color w:val="666666"/>
          <w:sz w:val="20"/>
          <w:szCs w:val="20"/>
        </w:rPr>
      </w:pPr>
    </w:p>
    <w:p w:rsidR="00D90A26" w:rsidRDefault="00D90A26" w:rsidP="00D90A26">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APORTES Y CONTRIBUCIONES. TOPES A LA BASE IMPONIBLE DESDE MARZO DE 2019</w:t>
      </w:r>
    </w:p>
    <w:p w:rsidR="00D90A26" w:rsidRDefault="00D90A26" w:rsidP="00D90A26">
      <w:pPr>
        <w:pStyle w:val="NormalWeb"/>
        <w:spacing w:before="0" w:beforeAutospacing="0" w:after="0" w:afterAutospacing="0"/>
        <w:jc w:val="both"/>
        <w:rPr>
          <w:rFonts w:ascii="Arial" w:hAnsi="Arial" w:cs="Arial"/>
          <w:b/>
          <w:bCs/>
          <w:caps/>
          <w:color w:val="7E4F6F"/>
          <w:sz w:val="21"/>
          <w:szCs w:val="21"/>
        </w:rPr>
      </w:pPr>
    </w:p>
    <w:p w:rsidR="00D90A26" w:rsidRDefault="00D90A26" w:rsidP="00D90A26">
      <w:pPr>
        <w:spacing w:line="360" w:lineRule="auto"/>
      </w:pPr>
      <w:r>
        <w:rPr>
          <w:rFonts w:ascii="Arial" w:eastAsia="Times New Roman" w:hAnsi="Arial" w:cs="Arial"/>
          <w:color w:val="666666"/>
          <w:sz w:val="20"/>
          <w:szCs w:val="20"/>
        </w:rPr>
        <w:t>Recordamos que, a partir del devengado mes de marzo de 2019, se incrementan los topes mínimos y máximos de la base imponible de la seguridad social, conforme a lo dispuesto por la resolución (</w:t>
      </w:r>
      <w:proofErr w:type="spellStart"/>
      <w:r>
        <w:rPr>
          <w:rFonts w:ascii="Arial" w:eastAsia="Times New Roman" w:hAnsi="Arial" w:cs="Arial"/>
          <w:color w:val="666666"/>
          <w:sz w:val="20"/>
          <w:szCs w:val="20"/>
        </w:rPr>
        <w:t>ANSeS</w:t>
      </w:r>
      <w:proofErr w:type="spellEnd"/>
      <w:r>
        <w:rPr>
          <w:rFonts w:ascii="Arial" w:eastAsia="Times New Roman" w:hAnsi="Arial" w:cs="Arial"/>
          <w:color w:val="666666"/>
          <w:sz w:val="20"/>
          <w:szCs w:val="20"/>
        </w:rPr>
        <w:t xml:space="preserve">) 74/2019. </w:t>
      </w:r>
      <w:r>
        <w:rPr>
          <w:rFonts w:ascii="Arial" w:eastAsia="Times New Roman" w:hAnsi="Arial" w:cs="Arial"/>
          <w:color w:val="666666"/>
          <w:sz w:val="20"/>
          <w:szCs w:val="20"/>
        </w:rPr>
        <w:br/>
        <w:t>En tal sentido, acercamos el cuadro con los nuevos valores</w:t>
      </w:r>
    </w:p>
    <w:p w:rsidR="00D90A26" w:rsidRPr="00D90A26" w:rsidRDefault="00D90A26" w:rsidP="00D90A26">
      <w:pPr>
        <w:pStyle w:val="textocentradonegritanovedades"/>
        <w:rPr>
          <w:rFonts w:ascii="Arial" w:hAnsi="Arial" w:cs="Arial"/>
          <w:sz w:val="20"/>
          <w:szCs w:val="20"/>
        </w:rPr>
      </w:pPr>
      <w:r w:rsidRPr="00D90A26">
        <w:rPr>
          <w:rFonts w:ascii="Arial" w:hAnsi="Arial" w:cs="Arial"/>
          <w:sz w:val="20"/>
          <w:szCs w:val="20"/>
        </w:rPr>
        <w:t>VIGENCIA: DESDE DEVENGADO 1/3/2019</w:t>
      </w:r>
    </w:p>
    <w:tbl>
      <w:tblPr>
        <w:tblW w:w="500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003"/>
        <w:gridCol w:w="1284"/>
        <w:gridCol w:w="1854"/>
        <w:gridCol w:w="1740"/>
        <w:gridCol w:w="2058"/>
      </w:tblGrid>
      <w:tr w:rsidR="00D90A26" w:rsidTr="00D90A26">
        <w:trPr>
          <w:trHeight w:val="238"/>
          <w:tblCellSpacing w:w="15" w:type="dxa"/>
        </w:trPr>
        <w:tc>
          <w:tcPr>
            <w:tcW w:w="1118" w:type="pct"/>
            <w:vMerge w:val="restart"/>
            <w:shd w:val="clear" w:color="auto" w:fill="C0C0C0"/>
            <w:vAlign w:val="center"/>
            <w:hideMark/>
          </w:tcPr>
          <w:p w:rsidR="00D90A26" w:rsidRPr="00D90A26" w:rsidRDefault="00D90A26" w:rsidP="00F810C4">
            <w:pPr>
              <w:pStyle w:val="Sinespaciado"/>
            </w:pPr>
            <w:r w:rsidRPr="00D90A26">
              <w:t> </w:t>
            </w:r>
            <w:r w:rsidRPr="00D90A26">
              <w:rPr>
                <w:rStyle w:val="negritanovedades"/>
                <w:rFonts w:asciiTheme="minorHAnsi" w:hAnsiTheme="minorHAnsi" w:cs="Arial"/>
                <w:sz w:val="16"/>
                <w:szCs w:val="16"/>
              </w:rPr>
              <w:t>Concepto</w:t>
            </w:r>
          </w:p>
        </w:tc>
        <w:tc>
          <w:tcPr>
            <w:tcW w:w="1757" w:type="pct"/>
            <w:gridSpan w:val="2"/>
            <w:shd w:val="clear" w:color="auto" w:fill="C0C0C0"/>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Style w:val="negritanovedades"/>
                <w:rFonts w:asciiTheme="minorHAnsi" w:hAnsiTheme="minorHAnsi" w:cs="Arial"/>
                <w:sz w:val="16"/>
                <w:szCs w:val="16"/>
              </w:rPr>
              <w:t>Tope mínimo</w:t>
            </w:r>
          </w:p>
        </w:tc>
        <w:tc>
          <w:tcPr>
            <w:tcW w:w="0" w:type="auto"/>
            <w:gridSpan w:val="2"/>
            <w:shd w:val="clear" w:color="auto" w:fill="C0C0C0"/>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Style w:val="negritanovedades"/>
                <w:rFonts w:asciiTheme="minorHAnsi" w:hAnsiTheme="minorHAnsi" w:cs="Arial"/>
                <w:sz w:val="16"/>
                <w:szCs w:val="16"/>
              </w:rPr>
              <w:t>Tope máximo</w:t>
            </w:r>
          </w:p>
        </w:tc>
      </w:tr>
      <w:tr w:rsidR="00D90A26" w:rsidTr="00D90A26">
        <w:trPr>
          <w:trHeight w:val="156"/>
          <w:tblCellSpacing w:w="15" w:type="dxa"/>
        </w:trPr>
        <w:tc>
          <w:tcPr>
            <w:tcW w:w="1118" w:type="pct"/>
            <w:vMerge/>
            <w:vAlign w:val="center"/>
            <w:hideMark/>
          </w:tcPr>
          <w:p w:rsidR="00D90A26" w:rsidRPr="00D90A26" w:rsidRDefault="00D90A26" w:rsidP="000A2897">
            <w:pPr>
              <w:rPr>
                <w:rFonts w:asciiTheme="minorHAnsi" w:hAnsiTheme="minorHAnsi" w:cs="Arial"/>
                <w:sz w:val="16"/>
                <w:szCs w:val="16"/>
              </w:rPr>
            </w:pPr>
          </w:p>
        </w:tc>
        <w:tc>
          <w:tcPr>
            <w:tcW w:w="716" w:type="pct"/>
            <w:shd w:val="clear" w:color="auto" w:fill="C0C0C0"/>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Style w:val="negritanovedades"/>
                <w:rFonts w:asciiTheme="minorHAnsi" w:hAnsiTheme="minorHAnsi" w:cs="Arial"/>
                <w:sz w:val="16"/>
                <w:szCs w:val="16"/>
              </w:rPr>
              <w:t>Aportes del trabajador</w:t>
            </w:r>
          </w:p>
        </w:tc>
        <w:tc>
          <w:tcPr>
            <w:tcW w:w="0" w:type="auto"/>
            <w:shd w:val="clear" w:color="auto" w:fill="C0C0C0"/>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Style w:val="negritanovedades"/>
                <w:rFonts w:asciiTheme="minorHAnsi" w:hAnsiTheme="minorHAnsi" w:cs="Arial"/>
                <w:sz w:val="16"/>
                <w:szCs w:val="16"/>
              </w:rPr>
              <w:t>Contribuciones patronales</w:t>
            </w:r>
          </w:p>
        </w:tc>
        <w:tc>
          <w:tcPr>
            <w:tcW w:w="0" w:type="auto"/>
            <w:shd w:val="clear" w:color="auto" w:fill="C0C0C0"/>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Style w:val="negritanovedades"/>
                <w:rFonts w:asciiTheme="minorHAnsi" w:hAnsiTheme="minorHAnsi" w:cs="Arial"/>
                <w:sz w:val="16"/>
                <w:szCs w:val="16"/>
              </w:rPr>
              <w:t>Aportes del trabajador</w:t>
            </w:r>
          </w:p>
        </w:tc>
        <w:tc>
          <w:tcPr>
            <w:tcW w:w="0" w:type="auto"/>
            <w:shd w:val="clear" w:color="auto" w:fill="C0C0C0"/>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Style w:val="negritanovedades"/>
                <w:rFonts w:asciiTheme="minorHAnsi" w:hAnsiTheme="minorHAnsi" w:cs="Arial"/>
                <w:sz w:val="16"/>
                <w:szCs w:val="16"/>
              </w:rPr>
              <w:t>Contribuciones patronales</w:t>
            </w:r>
          </w:p>
        </w:tc>
      </w:tr>
      <w:tr w:rsidR="00D90A26" w:rsidTr="00D90A26">
        <w:trPr>
          <w:trHeight w:val="726"/>
          <w:tblCellSpacing w:w="15" w:type="dxa"/>
        </w:trPr>
        <w:tc>
          <w:tcPr>
            <w:tcW w:w="1118" w:type="pct"/>
            <w:vAlign w:val="center"/>
            <w:hideMark/>
          </w:tcPr>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Jubilación</w:t>
            </w:r>
          </w:p>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ley 24241</w:t>
            </w:r>
            <w:r>
              <w:rPr>
                <w:rFonts w:asciiTheme="minorHAnsi" w:hAnsiTheme="minorHAnsi" w:cs="Arial"/>
                <w:sz w:val="16"/>
                <w:szCs w:val="16"/>
              </w:rPr>
              <w:t xml:space="preserve"> </w:t>
            </w:r>
          </w:p>
        </w:tc>
        <w:tc>
          <w:tcPr>
            <w:tcW w:w="716" w:type="pct"/>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$ 3.621,04</w:t>
            </w:r>
            <w:hyperlink r:id="rId14" w:anchor="q1" w:tgtFrame="_self" w:history="1">
              <w:r w:rsidRPr="00D90A26">
                <w:rPr>
                  <w:rStyle w:val="hipervnculo0"/>
                  <w:rFonts w:asciiTheme="minorHAnsi" w:hAnsiTheme="minorHAnsi" w:cs="Arial"/>
                  <w:color w:val="0000FF"/>
                  <w:sz w:val="16"/>
                  <w:szCs w:val="16"/>
                  <w:u w:val="single"/>
                </w:rPr>
                <w:t>(1)</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$ 3.621,04</w:t>
            </w:r>
            <w:hyperlink r:id="rId15" w:anchor="q1" w:tgtFrame="_self" w:history="1">
              <w:r w:rsidRPr="00D90A26">
                <w:rPr>
                  <w:rStyle w:val="hipervnculo0"/>
                  <w:rFonts w:asciiTheme="minorHAnsi" w:hAnsiTheme="minorHAnsi" w:cs="Arial"/>
                  <w:color w:val="0000FF"/>
                  <w:sz w:val="16"/>
                  <w:szCs w:val="16"/>
                  <w:u w:val="single"/>
                </w:rPr>
                <w:t>(1)</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$ 117.682,47</w:t>
            </w:r>
            <w:hyperlink r:id="rId16" w:anchor="q2" w:tgtFrame="_self" w:history="1">
              <w:r w:rsidRPr="00D90A26">
                <w:rPr>
                  <w:rStyle w:val="hipervnculo0"/>
                  <w:rFonts w:asciiTheme="minorHAnsi" w:hAnsiTheme="minorHAnsi" w:cs="Arial"/>
                  <w:color w:val="0000FF"/>
                  <w:sz w:val="16"/>
                  <w:szCs w:val="16"/>
                  <w:u w:val="single"/>
                </w:rPr>
                <w:t>(2)</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Sin límite</w:t>
            </w:r>
          </w:p>
        </w:tc>
      </w:tr>
      <w:tr w:rsidR="00D90A26" w:rsidTr="00D90A26">
        <w:trPr>
          <w:trHeight w:val="726"/>
          <w:tblCellSpacing w:w="15" w:type="dxa"/>
        </w:trPr>
        <w:tc>
          <w:tcPr>
            <w:tcW w:w="1118" w:type="pct"/>
            <w:vAlign w:val="center"/>
            <w:hideMark/>
          </w:tcPr>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INSSJP</w:t>
            </w:r>
          </w:p>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ley 19032</w:t>
            </w:r>
          </w:p>
        </w:tc>
        <w:tc>
          <w:tcPr>
            <w:tcW w:w="716" w:type="pct"/>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$ 3.621,04</w:t>
            </w:r>
            <w:hyperlink r:id="rId17" w:anchor="q1" w:tgtFrame="_self" w:history="1">
              <w:r w:rsidRPr="00D90A26">
                <w:rPr>
                  <w:rStyle w:val="hipervnculo0"/>
                  <w:rFonts w:asciiTheme="minorHAnsi" w:hAnsiTheme="minorHAnsi" w:cs="Arial"/>
                  <w:color w:val="0000FF"/>
                  <w:sz w:val="16"/>
                  <w:szCs w:val="16"/>
                  <w:u w:val="single"/>
                </w:rPr>
                <w:t>(1)</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$ 3.621,04</w:t>
            </w:r>
            <w:hyperlink r:id="rId18" w:anchor="q1" w:tgtFrame="_self" w:history="1">
              <w:r w:rsidRPr="00D90A26">
                <w:rPr>
                  <w:rStyle w:val="hipervnculo0"/>
                  <w:rFonts w:asciiTheme="minorHAnsi" w:hAnsiTheme="minorHAnsi" w:cs="Arial"/>
                  <w:color w:val="0000FF"/>
                  <w:sz w:val="16"/>
                  <w:szCs w:val="16"/>
                  <w:u w:val="single"/>
                </w:rPr>
                <w:t>(1)</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$ 117.682,47</w:t>
            </w:r>
            <w:hyperlink r:id="rId19" w:anchor="q2" w:tgtFrame="_self" w:history="1">
              <w:r w:rsidRPr="00D90A26">
                <w:rPr>
                  <w:rStyle w:val="hipervnculo0"/>
                  <w:rFonts w:asciiTheme="minorHAnsi" w:hAnsiTheme="minorHAnsi" w:cs="Arial"/>
                  <w:color w:val="0000FF"/>
                  <w:sz w:val="16"/>
                  <w:szCs w:val="16"/>
                  <w:u w:val="single"/>
                </w:rPr>
                <w:t>(2)</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Sin límite</w:t>
            </w:r>
          </w:p>
        </w:tc>
      </w:tr>
      <w:tr w:rsidR="00D90A26" w:rsidTr="00D90A26">
        <w:trPr>
          <w:trHeight w:val="726"/>
          <w:tblCellSpacing w:w="15" w:type="dxa"/>
        </w:trPr>
        <w:tc>
          <w:tcPr>
            <w:tcW w:w="1118" w:type="pct"/>
            <w:vAlign w:val="center"/>
            <w:hideMark/>
          </w:tcPr>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Asignaciones familiares</w:t>
            </w:r>
          </w:p>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ley 24714</w:t>
            </w:r>
          </w:p>
        </w:tc>
        <w:tc>
          <w:tcPr>
            <w:tcW w:w="716" w:type="pct"/>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N/C</w:t>
            </w:r>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$ 3.621,04</w:t>
            </w:r>
            <w:hyperlink r:id="rId20" w:anchor="q1" w:tgtFrame="_self" w:history="1">
              <w:r w:rsidRPr="00D90A26">
                <w:rPr>
                  <w:rStyle w:val="hipervnculo0"/>
                  <w:rFonts w:asciiTheme="minorHAnsi" w:hAnsiTheme="minorHAnsi" w:cs="Arial"/>
                  <w:color w:val="0000FF"/>
                  <w:sz w:val="16"/>
                  <w:szCs w:val="16"/>
                  <w:u w:val="single"/>
                </w:rPr>
                <w:t>(1)</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N/C</w:t>
            </w:r>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Sin límite</w:t>
            </w:r>
          </w:p>
        </w:tc>
      </w:tr>
      <w:tr w:rsidR="00D90A26" w:rsidTr="00D90A26">
        <w:trPr>
          <w:trHeight w:val="156"/>
          <w:tblCellSpacing w:w="15" w:type="dxa"/>
        </w:trPr>
        <w:tc>
          <w:tcPr>
            <w:tcW w:w="1118" w:type="pct"/>
            <w:vAlign w:val="center"/>
            <w:hideMark/>
          </w:tcPr>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lastRenderedPageBreak/>
              <w:t>Fondo Nacional de Empleo</w:t>
            </w:r>
          </w:p>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ley 24013</w:t>
            </w:r>
          </w:p>
        </w:tc>
        <w:tc>
          <w:tcPr>
            <w:tcW w:w="716" w:type="pct"/>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N/C</w:t>
            </w:r>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$ 3.621,04</w:t>
            </w:r>
            <w:hyperlink r:id="rId21" w:anchor="q1" w:tgtFrame="_self" w:history="1">
              <w:r w:rsidRPr="00D90A26">
                <w:rPr>
                  <w:rStyle w:val="hipervnculo0"/>
                  <w:rFonts w:asciiTheme="minorHAnsi" w:hAnsiTheme="minorHAnsi" w:cs="Arial"/>
                  <w:color w:val="0000FF"/>
                  <w:sz w:val="16"/>
                  <w:szCs w:val="16"/>
                  <w:u w:val="single"/>
                </w:rPr>
                <w:t>(1)</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N/C</w:t>
            </w:r>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Sin límite</w:t>
            </w:r>
          </w:p>
        </w:tc>
      </w:tr>
      <w:tr w:rsidR="00D90A26" w:rsidTr="00D90A26">
        <w:trPr>
          <w:trHeight w:val="156"/>
          <w:tblCellSpacing w:w="15" w:type="dxa"/>
        </w:trPr>
        <w:tc>
          <w:tcPr>
            <w:tcW w:w="1118" w:type="pct"/>
            <w:vAlign w:val="center"/>
            <w:hideMark/>
          </w:tcPr>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Obra social</w:t>
            </w:r>
          </w:p>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ley 23660</w:t>
            </w:r>
          </w:p>
        </w:tc>
        <w:tc>
          <w:tcPr>
            <w:tcW w:w="716" w:type="pct"/>
            <w:vAlign w:val="center"/>
            <w:hideMark/>
          </w:tcPr>
          <w:p w:rsidR="00D90A26" w:rsidRPr="00D90A26" w:rsidRDefault="008865E4" w:rsidP="00D90A26">
            <w:pPr>
              <w:pStyle w:val="tablacentrado8"/>
              <w:jc w:val="center"/>
              <w:rPr>
                <w:rFonts w:asciiTheme="minorHAnsi" w:hAnsiTheme="minorHAnsi" w:cs="Arial"/>
                <w:sz w:val="16"/>
                <w:szCs w:val="16"/>
              </w:rPr>
            </w:pPr>
            <w:hyperlink r:id="rId22" w:anchor="q3" w:tgtFrame="_self" w:history="1">
              <w:r w:rsidR="00D90A26" w:rsidRPr="00D90A26">
                <w:rPr>
                  <w:rStyle w:val="hipervnculo0"/>
                  <w:rFonts w:asciiTheme="minorHAnsi" w:hAnsiTheme="minorHAnsi" w:cs="Arial"/>
                  <w:color w:val="0000FF"/>
                  <w:sz w:val="16"/>
                  <w:szCs w:val="16"/>
                  <w:u w:val="single"/>
                </w:rPr>
                <w:t>(3)</w:t>
              </w:r>
            </w:hyperlink>
          </w:p>
        </w:tc>
        <w:tc>
          <w:tcPr>
            <w:tcW w:w="0" w:type="auto"/>
            <w:vAlign w:val="center"/>
            <w:hideMark/>
          </w:tcPr>
          <w:p w:rsidR="00D90A26" w:rsidRPr="00D90A26" w:rsidRDefault="008865E4" w:rsidP="00D90A26">
            <w:pPr>
              <w:pStyle w:val="tablacentrado8"/>
              <w:jc w:val="center"/>
              <w:rPr>
                <w:rFonts w:asciiTheme="minorHAnsi" w:hAnsiTheme="minorHAnsi" w:cs="Arial"/>
                <w:sz w:val="16"/>
                <w:szCs w:val="16"/>
              </w:rPr>
            </w:pPr>
            <w:hyperlink r:id="rId23" w:anchor="q3" w:tgtFrame="_self" w:history="1">
              <w:r w:rsidR="00D90A26" w:rsidRPr="00D90A26">
                <w:rPr>
                  <w:rStyle w:val="hipervnculo0"/>
                  <w:rFonts w:asciiTheme="minorHAnsi" w:hAnsiTheme="minorHAnsi" w:cs="Arial"/>
                  <w:color w:val="0000FF"/>
                  <w:sz w:val="16"/>
                  <w:szCs w:val="16"/>
                  <w:u w:val="single"/>
                </w:rPr>
                <w:t>(3)</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$ 117.682,47</w:t>
            </w:r>
            <w:hyperlink r:id="rId24" w:anchor="q2" w:tgtFrame="_self" w:history="1">
              <w:r w:rsidRPr="00D90A26">
                <w:rPr>
                  <w:rStyle w:val="hipervnculo0"/>
                  <w:rFonts w:asciiTheme="minorHAnsi" w:hAnsiTheme="minorHAnsi" w:cs="Arial"/>
                  <w:color w:val="0000FF"/>
                  <w:sz w:val="16"/>
                  <w:szCs w:val="16"/>
                  <w:u w:val="single"/>
                </w:rPr>
                <w:t>(2)</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Sin límite</w:t>
            </w:r>
          </w:p>
        </w:tc>
      </w:tr>
      <w:tr w:rsidR="00D90A26" w:rsidTr="00D90A26">
        <w:trPr>
          <w:trHeight w:val="156"/>
          <w:tblCellSpacing w:w="15" w:type="dxa"/>
        </w:trPr>
        <w:tc>
          <w:tcPr>
            <w:tcW w:w="1118" w:type="pct"/>
            <w:vAlign w:val="center"/>
            <w:hideMark/>
          </w:tcPr>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ANSSAL</w:t>
            </w:r>
          </w:p>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ley 23660</w:t>
            </w:r>
          </w:p>
        </w:tc>
        <w:tc>
          <w:tcPr>
            <w:tcW w:w="716" w:type="pct"/>
            <w:vAlign w:val="center"/>
            <w:hideMark/>
          </w:tcPr>
          <w:p w:rsidR="00D90A26" w:rsidRPr="00D90A26" w:rsidRDefault="008865E4" w:rsidP="00D90A26">
            <w:pPr>
              <w:pStyle w:val="tablacentrado8"/>
              <w:jc w:val="center"/>
              <w:rPr>
                <w:rFonts w:asciiTheme="minorHAnsi" w:hAnsiTheme="minorHAnsi" w:cs="Arial"/>
                <w:sz w:val="16"/>
                <w:szCs w:val="16"/>
              </w:rPr>
            </w:pPr>
            <w:hyperlink r:id="rId25" w:anchor="q3" w:tgtFrame="_self" w:history="1">
              <w:r w:rsidR="00D90A26" w:rsidRPr="00D90A26">
                <w:rPr>
                  <w:rStyle w:val="hipervnculo0"/>
                  <w:rFonts w:asciiTheme="minorHAnsi" w:hAnsiTheme="minorHAnsi" w:cs="Arial"/>
                  <w:color w:val="0000FF"/>
                  <w:sz w:val="16"/>
                  <w:szCs w:val="16"/>
                  <w:u w:val="single"/>
                </w:rPr>
                <w:t>(3)</w:t>
              </w:r>
            </w:hyperlink>
          </w:p>
        </w:tc>
        <w:tc>
          <w:tcPr>
            <w:tcW w:w="0" w:type="auto"/>
            <w:vAlign w:val="center"/>
            <w:hideMark/>
          </w:tcPr>
          <w:p w:rsidR="00D90A26" w:rsidRPr="00D90A26" w:rsidRDefault="008865E4" w:rsidP="00D90A26">
            <w:pPr>
              <w:pStyle w:val="tablacentrado8"/>
              <w:jc w:val="center"/>
              <w:rPr>
                <w:rFonts w:asciiTheme="minorHAnsi" w:hAnsiTheme="minorHAnsi" w:cs="Arial"/>
                <w:sz w:val="16"/>
                <w:szCs w:val="16"/>
              </w:rPr>
            </w:pPr>
            <w:hyperlink r:id="rId26" w:anchor="q3" w:tgtFrame="_self" w:history="1">
              <w:r w:rsidR="00D90A26" w:rsidRPr="00D90A26">
                <w:rPr>
                  <w:rStyle w:val="hipervnculo0"/>
                  <w:rFonts w:asciiTheme="minorHAnsi" w:hAnsiTheme="minorHAnsi" w:cs="Arial"/>
                  <w:color w:val="0000FF"/>
                  <w:sz w:val="16"/>
                  <w:szCs w:val="16"/>
                  <w:u w:val="single"/>
                </w:rPr>
                <w:t>(3)</w:t>
              </w:r>
            </w:hyperlink>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$ 117.682,47</w:t>
            </w:r>
            <w:bookmarkStart w:id="3" w:name="_GoBack"/>
            <w:bookmarkEnd w:id="3"/>
            <w:r w:rsidR="008865E4" w:rsidRPr="00D90A26">
              <w:rPr>
                <w:rStyle w:val="hipervnculo0"/>
                <w:rFonts w:asciiTheme="minorHAnsi" w:hAnsiTheme="minorHAnsi" w:cs="Arial"/>
                <w:sz w:val="16"/>
                <w:szCs w:val="16"/>
              </w:rPr>
              <w:fldChar w:fldCharType="begin"/>
            </w:r>
            <w:r w:rsidRPr="00D90A26">
              <w:rPr>
                <w:rStyle w:val="hipervnculo0"/>
                <w:rFonts w:asciiTheme="minorHAnsi" w:hAnsiTheme="minorHAnsi" w:cs="Arial"/>
                <w:sz w:val="16"/>
                <w:szCs w:val="16"/>
              </w:rPr>
              <w:instrText xml:space="preserve"> HYPERLINK "http://eol.errepar.com/sitios/ver/html/20190306110043864.html" \l "q2" </w:instrText>
            </w:r>
            <w:r w:rsidR="008865E4" w:rsidRPr="00D90A26">
              <w:rPr>
                <w:rStyle w:val="hipervnculo0"/>
                <w:rFonts w:asciiTheme="minorHAnsi" w:hAnsiTheme="minorHAnsi" w:cs="Arial"/>
                <w:sz w:val="16"/>
                <w:szCs w:val="16"/>
              </w:rPr>
              <w:fldChar w:fldCharType="separate"/>
            </w:r>
            <w:r w:rsidRPr="00D90A26">
              <w:rPr>
                <w:rStyle w:val="Hipervnculo"/>
                <w:rFonts w:asciiTheme="minorHAnsi" w:hAnsiTheme="minorHAnsi" w:cs="Arial"/>
                <w:sz w:val="16"/>
                <w:szCs w:val="16"/>
              </w:rPr>
              <w:t>(2)</w:t>
            </w:r>
            <w:r w:rsidR="008865E4" w:rsidRPr="00D90A26">
              <w:rPr>
                <w:rStyle w:val="hipervnculo0"/>
                <w:rFonts w:asciiTheme="minorHAnsi" w:hAnsiTheme="minorHAnsi" w:cs="Arial"/>
                <w:sz w:val="16"/>
                <w:szCs w:val="16"/>
              </w:rPr>
              <w:fldChar w:fldCharType="end"/>
            </w:r>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Sin límite</w:t>
            </w:r>
          </w:p>
        </w:tc>
      </w:tr>
      <w:tr w:rsidR="00D90A26" w:rsidTr="00D90A26">
        <w:trPr>
          <w:trHeight w:val="156"/>
          <w:tblCellSpacing w:w="15" w:type="dxa"/>
        </w:trPr>
        <w:tc>
          <w:tcPr>
            <w:tcW w:w="1118" w:type="pct"/>
            <w:vAlign w:val="center"/>
            <w:hideMark/>
          </w:tcPr>
          <w:p w:rsidR="00D90A26" w:rsidRPr="00D90A26" w:rsidRDefault="00D90A26" w:rsidP="000A2897">
            <w:pPr>
              <w:pStyle w:val="tablacentrado8"/>
              <w:rPr>
                <w:rFonts w:asciiTheme="minorHAnsi" w:hAnsiTheme="minorHAnsi" w:cs="Arial"/>
                <w:sz w:val="16"/>
                <w:szCs w:val="16"/>
              </w:rPr>
            </w:pPr>
            <w:r w:rsidRPr="00D90A26">
              <w:rPr>
                <w:rFonts w:asciiTheme="minorHAnsi" w:hAnsiTheme="minorHAnsi" w:cs="Arial"/>
                <w:sz w:val="16"/>
                <w:szCs w:val="16"/>
              </w:rPr>
              <w:t>Riesgos del trabajo</w:t>
            </w:r>
            <w:r w:rsidRPr="00D90A26">
              <w:rPr>
                <w:rFonts w:asciiTheme="minorHAnsi" w:hAnsiTheme="minorHAnsi" w:cs="Arial"/>
                <w:sz w:val="16"/>
                <w:szCs w:val="16"/>
              </w:rPr>
              <w:br/>
              <w:t>ley 24557</w:t>
            </w:r>
          </w:p>
        </w:tc>
        <w:tc>
          <w:tcPr>
            <w:tcW w:w="716" w:type="pct"/>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N/C</w:t>
            </w:r>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 $ 3.621,04</w:t>
            </w:r>
          </w:p>
        </w:tc>
        <w:tc>
          <w:tcPr>
            <w:tcW w:w="0" w:type="auto"/>
            <w:vAlign w:val="center"/>
            <w:hideMark/>
          </w:tcPr>
          <w:p w:rsidR="00D90A26" w:rsidRPr="00D90A26" w:rsidRDefault="00D90A26" w:rsidP="00D90A26">
            <w:pPr>
              <w:pStyle w:val="tablacentrado8"/>
              <w:jc w:val="center"/>
              <w:rPr>
                <w:rFonts w:asciiTheme="minorHAnsi" w:hAnsiTheme="minorHAnsi" w:cs="Arial"/>
                <w:sz w:val="16"/>
                <w:szCs w:val="16"/>
              </w:rPr>
            </w:pPr>
            <w:r w:rsidRPr="00D90A26">
              <w:rPr>
                <w:rFonts w:asciiTheme="minorHAnsi" w:hAnsiTheme="minorHAnsi" w:cs="Arial"/>
                <w:sz w:val="16"/>
                <w:szCs w:val="16"/>
              </w:rPr>
              <w:t>N/C</w:t>
            </w:r>
          </w:p>
        </w:tc>
        <w:tc>
          <w:tcPr>
            <w:tcW w:w="0" w:type="auto"/>
            <w:vAlign w:val="center"/>
            <w:hideMark/>
          </w:tcPr>
          <w:p w:rsidR="00D90A26" w:rsidRPr="00D90A26" w:rsidRDefault="008865E4" w:rsidP="00D90A26">
            <w:pPr>
              <w:pStyle w:val="tablacentrado8"/>
              <w:jc w:val="center"/>
              <w:rPr>
                <w:rFonts w:asciiTheme="minorHAnsi" w:hAnsiTheme="minorHAnsi" w:cs="Arial"/>
                <w:sz w:val="16"/>
                <w:szCs w:val="16"/>
              </w:rPr>
            </w:pPr>
            <w:hyperlink r:id="rId27" w:anchor="q4" w:tgtFrame="_self" w:history="1">
              <w:r w:rsidR="00D90A26" w:rsidRPr="00D90A26">
                <w:rPr>
                  <w:rStyle w:val="hipervnculo0"/>
                  <w:rFonts w:asciiTheme="minorHAnsi" w:hAnsiTheme="minorHAnsi" w:cs="Arial"/>
                  <w:color w:val="0000FF"/>
                  <w:sz w:val="16"/>
                  <w:szCs w:val="16"/>
                  <w:u w:val="single"/>
                </w:rPr>
                <w:t>(4)</w:t>
              </w:r>
            </w:hyperlink>
          </w:p>
        </w:tc>
      </w:tr>
    </w:tbl>
    <w:p w:rsidR="00D90A26" w:rsidRPr="00D90A26" w:rsidRDefault="00D90A26" w:rsidP="00D90A26">
      <w:pPr>
        <w:pStyle w:val="NormalWeb"/>
        <w:spacing w:before="0" w:beforeAutospacing="0"/>
        <w:rPr>
          <w:rFonts w:ascii="Arial" w:hAnsi="Arial" w:cs="Arial"/>
          <w:sz w:val="16"/>
          <w:szCs w:val="16"/>
        </w:rPr>
      </w:pPr>
      <w:r>
        <w:t> </w:t>
      </w:r>
      <w:r w:rsidRPr="00D90A26">
        <w:rPr>
          <w:rFonts w:ascii="Arial" w:hAnsi="Arial" w:cs="Arial"/>
          <w:sz w:val="16"/>
          <w:szCs w:val="16"/>
        </w:rPr>
        <w:t>N/C: No corresponde</w:t>
      </w:r>
    </w:p>
    <w:p w:rsidR="00D90A26" w:rsidRPr="00D90A26" w:rsidRDefault="00D90A26" w:rsidP="00D90A26">
      <w:pPr>
        <w:pStyle w:val="NormalWeb"/>
        <w:spacing w:before="0" w:beforeAutospacing="0"/>
        <w:jc w:val="both"/>
        <w:rPr>
          <w:rFonts w:ascii="Arial" w:hAnsi="Arial" w:cs="Arial"/>
          <w:sz w:val="16"/>
          <w:szCs w:val="16"/>
        </w:rPr>
      </w:pPr>
      <w:r w:rsidRPr="00D90A26">
        <w:rPr>
          <w:rFonts w:ascii="Arial" w:hAnsi="Arial" w:cs="Arial"/>
          <w:sz w:val="16"/>
          <w:szCs w:val="16"/>
        </w:rPr>
        <w:t> Notas:</w:t>
      </w:r>
    </w:p>
    <w:p w:rsidR="00D90A26" w:rsidRPr="00D90A26" w:rsidRDefault="00D90A26" w:rsidP="00D90A26">
      <w:pPr>
        <w:pStyle w:val="texto8novedades"/>
        <w:spacing w:before="0" w:beforeAutospacing="0"/>
        <w:jc w:val="both"/>
        <w:rPr>
          <w:rFonts w:ascii="Arial" w:hAnsi="Arial" w:cs="Arial"/>
          <w:sz w:val="16"/>
          <w:szCs w:val="16"/>
        </w:rPr>
      </w:pPr>
      <w:bookmarkStart w:id="4" w:name="q1"/>
      <w:bookmarkEnd w:id="4"/>
      <w:r w:rsidRPr="00D90A26">
        <w:rPr>
          <w:rFonts w:ascii="Arial" w:hAnsi="Arial" w:cs="Arial"/>
          <w:sz w:val="16"/>
          <w:szCs w:val="16"/>
        </w:rPr>
        <w:t>(1) Los topes se actualizan trimestralmente, junto con la movilidad jubilatorio, en los meses de marzo, junio, setiembre y diciembre de cada año (</w:t>
      </w:r>
      <w:hyperlink r:id="rId28" w:tgtFrame="_blank" w:history="1">
        <w:r w:rsidRPr="00D90A26">
          <w:rPr>
            <w:rStyle w:val="hipervnculo0"/>
            <w:rFonts w:ascii="Arial" w:hAnsi="Arial" w:cs="Arial"/>
            <w:color w:val="0000FF"/>
            <w:sz w:val="16"/>
            <w:szCs w:val="16"/>
            <w:u w:val="single"/>
          </w:rPr>
          <w:t>L. 27426</w:t>
        </w:r>
      </w:hyperlink>
      <w:r w:rsidRPr="00D90A26">
        <w:rPr>
          <w:rFonts w:ascii="Arial" w:hAnsi="Arial" w:cs="Arial"/>
          <w:sz w:val="16"/>
          <w:szCs w:val="16"/>
        </w:rPr>
        <w:t xml:space="preserve">). Tope mínimo dispuesto por </w:t>
      </w:r>
      <w:hyperlink r:id="rId29" w:tgtFrame="_blank" w:history="1">
        <w:r w:rsidRPr="00D90A26">
          <w:rPr>
            <w:rStyle w:val="hipervnculo0"/>
            <w:rFonts w:ascii="Arial" w:hAnsi="Arial" w:cs="Arial"/>
            <w:color w:val="0000FF"/>
            <w:sz w:val="16"/>
            <w:szCs w:val="16"/>
            <w:u w:val="single"/>
          </w:rPr>
          <w:t>R. (ANSES) 74/2019</w:t>
        </w:r>
      </w:hyperlink>
      <w:r w:rsidRPr="00D90A26">
        <w:rPr>
          <w:rFonts w:ascii="Arial" w:hAnsi="Arial" w:cs="Arial"/>
          <w:sz w:val="16"/>
          <w:szCs w:val="16"/>
        </w:rPr>
        <w:t>. Este tope no resulta de aplicación para el caso del contrato a tiempo parcial (</w:t>
      </w:r>
      <w:hyperlink r:id="rId30" w:tgtFrame="_blank" w:history="1">
        <w:r w:rsidRPr="00D90A26">
          <w:rPr>
            <w:rStyle w:val="Hipervnculo"/>
            <w:rFonts w:ascii="Arial" w:hAnsi="Arial" w:cs="Arial"/>
            <w:sz w:val="16"/>
            <w:szCs w:val="16"/>
          </w:rPr>
          <w:t>art. 92 ter, LCT</w:t>
        </w:r>
      </w:hyperlink>
      <w:r w:rsidRPr="00D90A26">
        <w:rPr>
          <w:rFonts w:ascii="Arial" w:hAnsi="Arial" w:cs="Arial"/>
          <w:sz w:val="16"/>
          <w:szCs w:val="16"/>
        </w:rPr>
        <w:t>)</w:t>
      </w:r>
    </w:p>
    <w:p w:rsidR="00D90A26" w:rsidRPr="00D90A26" w:rsidRDefault="00D90A26" w:rsidP="00D90A26">
      <w:pPr>
        <w:pStyle w:val="texto8novedades"/>
        <w:jc w:val="both"/>
        <w:rPr>
          <w:rFonts w:ascii="Arial" w:hAnsi="Arial" w:cs="Arial"/>
          <w:sz w:val="16"/>
          <w:szCs w:val="16"/>
        </w:rPr>
      </w:pPr>
      <w:bookmarkStart w:id="5" w:name="q2"/>
      <w:bookmarkEnd w:id="5"/>
      <w:r w:rsidRPr="00D90A26">
        <w:rPr>
          <w:rFonts w:ascii="Arial" w:hAnsi="Arial" w:cs="Arial"/>
          <w:sz w:val="16"/>
          <w:szCs w:val="16"/>
        </w:rPr>
        <w:t xml:space="preserve">(2) Tope máximo dispuesto por </w:t>
      </w:r>
      <w:hyperlink r:id="rId31" w:tgtFrame="_blank" w:history="1">
        <w:r w:rsidRPr="00D90A26">
          <w:rPr>
            <w:rStyle w:val="hipervnculo0"/>
            <w:rFonts w:ascii="Arial" w:hAnsi="Arial" w:cs="Arial"/>
            <w:color w:val="0000FF"/>
            <w:sz w:val="16"/>
            <w:szCs w:val="16"/>
            <w:u w:val="single"/>
          </w:rPr>
          <w:t>R. (ANSES) 242/2018</w:t>
        </w:r>
      </w:hyperlink>
    </w:p>
    <w:p w:rsidR="00D90A26" w:rsidRPr="00D90A26" w:rsidRDefault="00D90A26" w:rsidP="00D90A26">
      <w:pPr>
        <w:pStyle w:val="texto8novedades"/>
        <w:jc w:val="both"/>
        <w:rPr>
          <w:rFonts w:ascii="Arial" w:hAnsi="Arial" w:cs="Arial"/>
          <w:sz w:val="16"/>
          <w:szCs w:val="16"/>
        </w:rPr>
      </w:pPr>
      <w:bookmarkStart w:id="6" w:name="q3"/>
      <w:bookmarkEnd w:id="6"/>
      <w:r w:rsidRPr="00D90A26">
        <w:rPr>
          <w:rFonts w:ascii="Arial" w:hAnsi="Arial" w:cs="Arial"/>
          <w:sz w:val="16"/>
          <w:szCs w:val="16"/>
        </w:rPr>
        <w:t xml:space="preserve">(3) Conforme el </w:t>
      </w:r>
      <w:hyperlink r:id="rId32" w:tgtFrame="_blank" w:history="1">
        <w:r w:rsidRPr="00D90A26">
          <w:rPr>
            <w:rStyle w:val="hipervnculo0"/>
            <w:rFonts w:ascii="Arial" w:hAnsi="Arial" w:cs="Arial"/>
            <w:color w:val="0000FF"/>
            <w:sz w:val="16"/>
            <w:szCs w:val="16"/>
            <w:u w:val="single"/>
          </w:rPr>
          <w:t>D. 921/2016</w:t>
        </w:r>
      </w:hyperlink>
      <w:r w:rsidRPr="00D90A26">
        <w:rPr>
          <w:rFonts w:ascii="Arial" w:hAnsi="Arial" w:cs="Arial"/>
          <w:sz w:val="16"/>
          <w:szCs w:val="16"/>
        </w:rPr>
        <w:t>, se establece que el monto del haber mínimo para el cálculo de aportes y contribuciones previstos en el régimen de obras sociales será equivalente a dos (2) bases mínimas previstas por la legislación vigente. Para el caso de contrato a tiempo parcial (</w:t>
      </w:r>
      <w:hyperlink r:id="rId33" w:tgtFrame="_blank" w:history="1">
        <w:r w:rsidRPr="00D90A26">
          <w:rPr>
            <w:rStyle w:val="Hipervnculo"/>
            <w:rFonts w:ascii="Arial" w:hAnsi="Arial" w:cs="Arial"/>
            <w:sz w:val="16"/>
            <w:szCs w:val="16"/>
          </w:rPr>
          <w:t>art. 92 ter de la LCT</w:t>
        </w:r>
      </w:hyperlink>
      <w:r w:rsidRPr="00D90A26">
        <w:rPr>
          <w:rFonts w:ascii="Arial" w:hAnsi="Arial" w:cs="Arial"/>
          <w:sz w:val="16"/>
          <w:szCs w:val="16"/>
        </w:rPr>
        <w:t xml:space="preserve"> y </w:t>
      </w:r>
      <w:hyperlink r:id="rId34" w:anchor="L_TPS_L_23660_Art_18L_TPS_L_23660_Art18" w:tgtFrame="_blank" w:history="1">
        <w:r w:rsidRPr="00D90A26">
          <w:rPr>
            <w:rStyle w:val="hipervnculo0"/>
            <w:rFonts w:ascii="Arial" w:hAnsi="Arial" w:cs="Arial"/>
            <w:color w:val="0000FF"/>
            <w:sz w:val="16"/>
            <w:szCs w:val="16"/>
            <w:u w:val="single"/>
          </w:rPr>
          <w:t>art. 18 de la L. 23660</w:t>
        </w:r>
      </w:hyperlink>
      <w:r w:rsidRPr="00D90A26">
        <w:rPr>
          <w:rFonts w:ascii="Arial" w:hAnsi="Arial" w:cs="Arial"/>
          <w:sz w:val="16"/>
          <w:szCs w:val="16"/>
        </w:rPr>
        <w:t>), los aportes y contribuciones a obra social serán los que correspondan a un trabajador a tiempo completo</w:t>
      </w:r>
    </w:p>
    <w:p w:rsidR="00D90A26" w:rsidRDefault="00D90A26" w:rsidP="00D90A26">
      <w:pPr>
        <w:pStyle w:val="texto8novedades"/>
        <w:jc w:val="both"/>
      </w:pPr>
      <w:bookmarkStart w:id="7" w:name="q4"/>
      <w:bookmarkEnd w:id="7"/>
      <w:r w:rsidRPr="00D90A26">
        <w:rPr>
          <w:rFonts w:ascii="Arial" w:hAnsi="Arial" w:cs="Arial"/>
          <w:sz w:val="16"/>
          <w:szCs w:val="16"/>
        </w:rPr>
        <w:t xml:space="preserve">(4) Mediante el </w:t>
      </w:r>
      <w:hyperlink r:id="rId35" w:anchor="Ley26773Art10" w:tgtFrame="_blank" w:history="1">
        <w:r w:rsidRPr="00D90A26">
          <w:rPr>
            <w:rStyle w:val="hipervnculo0"/>
            <w:rFonts w:ascii="Arial" w:hAnsi="Arial" w:cs="Arial"/>
            <w:color w:val="0000FF"/>
            <w:sz w:val="16"/>
            <w:szCs w:val="16"/>
            <w:u w:val="single"/>
          </w:rPr>
          <w:t>último párrafo del art. 10 de la L. 26773</w:t>
        </w:r>
      </w:hyperlink>
      <w:r w:rsidRPr="00D90A26">
        <w:rPr>
          <w:rFonts w:ascii="Arial" w:hAnsi="Arial" w:cs="Arial"/>
          <w:sz w:val="16"/>
          <w:szCs w:val="16"/>
        </w:rPr>
        <w:t xml:space="preserve"> (BO: 26/10/2012) reglamentado por el </w:t>
      </w:r>
      <w:hyperlink r:id="rId36" w:tgtFrame="_blank" w:history="1">
        <w:r w:rsidRPr="00D90A26">
          <w:rPr>
            <w:rStyle w:val="hipervnculo0"/>
            <w:rFonts w:ascii="Arial" w:hAnsi="Arial" w:cs="Arial"/>
            <w:color w:val="0000FF"/>
            <w:sz w:val="16"/>
            <w:szCs w:val="16"/>
            <w:u w:val="single"/>
          </w:rPr>
          <w:t>art. 10 del Anexo I del D. 472/2014</w:t>
        </w:r>
      </w:hyperlink>
      <w:r w:rsidRPr="00D90A26">
        <w:rPr>
          <w:rFonts w:ascii="Arial" w:hAnsi="Arial" w:cs="Arial"/>
          <w:sz w:val="16"/>
          <w:szCs w:val="16"/>
        </w:rPr>
        <w:t xml:space="preserve">, se dispuso que la determinación de la base imponible se efectuará sobre el monto total de las remuneraciones y conceptos no remunerativos que declare mensualmente el empleador. La Superintendencia de Riesgos del Trabajo, a través de la </w:t>
      </w:r>
      <w:hyperlink r:id="rId37" w:tgtFrame="_blank" w:history="1">
        <w:r w:rsidRPr="00D90A26">
          <w:rPr>
            <w:rStyle w:val="hipervnculo0"/>
            <w:rFonts w:ascii="Arial" w:hAnsi="Arial" w:cs="Arial"/>
            <w:color w:val="0000FF"/>
            <w:sz w:val="16"/>
            <w:szCs w:val="16"/>
            <w:u w:val="single"/>
          </w:rPr>
          <w:t>N. (SRT) 17141/2014</w:t>
        </w:r>
      </w:hyperlink>
      <w:r w:rsidRPr="00D90A26">
        <w:rPr>
          <w:rFonts w:ascii="Arial" w:hAnsi="Arial" w:cs="Arial"/>
          <w:sz w:val="16"/>
          <w:szCs w:val="16"/>
        </w:rPr>
        <w:t>, solicita que las ART adecuen la base de cálculo a considerar para la determinación de las alícuotas a partir de la fecha de vencimiento del año de vigencia de la tarifa o para los nuevos contratos</w:t>
      </w:r>
      <w:r>
        <w:t>.</w:t>
      </w:r>
    </w:p>
    <w:p w:rsidR="00D90A26" w:rsidRDefault="00D90A26" w:rsidP="00D90A26">
      <w:pPr>
        <w:pStyle w:val="NormalWeb"/>
        <w:spacing w:before="0" w:beforeAutospacing="0" w:after="0" w:afterAutospacing="0"/>
        <w:jc w:val="both"/>
        <w:rPr>
          <w:rFonts w:ascii="Arial" w:hAnsi="Arial" w:cs="Arial"/>
          <w:b/>
          <w:bCs/>
          <w:caps/>
          <w:color w:val="7E4F6F"/>
          <w:sz w:val="21"/>
          <w:szCs w:val="21"/>
        </w:rPr>
      </w:pPr>
    </w:p>
    <w:p w:rsidR="00D90A26" w:rsidRDefault="00D90A26" w:rsidP="00D90A26">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SEGURO COLECTIVO DE VIDA OBLIGATORIO. INCREMENTO A PARTIR DE MARZO DE 2019 </w:t>
      </w:r>
    </w:p>
    <w:p w:rsidR="00D90A26" w:rsidRDefault="00D90A26" w:rsidP="00D90A26">
      <w:pPr>
        <w:pStyle w:val="NormalWeb"/>
        <w:spacing w:before="0" w:beforeAutospacing="0" w:after="0" w:afterAutospacing="0"/>
        <w:jc w:val="both"/>
        <w:rPr>
          <w:rFonts w:ascii="Arial" w:hAnsi="Arial" w:cs="Arial"/>
          <w:b/>
          <w:bCs/>
          <w:caps/>
          <w:color w:val="7E4F6F"/>
          <w:sz w:val="21"/>
          <w:szCs w:val="21"/>
        </w:rPr>
      </w:pPr>
    </w:p>
    <w:p w:rsidR="00D90A26" w:rsidRDefault="00D90A26" w:rsidP="00D90A26">
      <w:pPr>
        <w:spacing w:after="240" w:line="360" w:lineRule="auto"/>
        <w:jc w:val="both"/>
        <w:rPr>
          <w:rFonts w:ascii="Arial" w:eastAsia="Times New Roman" w:hAnsi="Arial" w:cs="Arial"/>
          <w:color w:val="666666"/>
          <w:sz w:val="17"/>
          <w:szCs w:val="17"/>
        </w:rPr>
      </w:pPr>
      <w:r>
        <w:rPr>
          <w:rFonts w:ascii="Arial" w:eastAsia="Times New Roman" w:hAnsi="Arial" w:cs="Arial"/>
          <w:color w:val="666666"/>
          <w:sz w:val="20"/>
          <w:szCs w:val="20"/>
        </w:rPr>
        <w:t xml:space="preserve">Recordamos que, a partir del 1 de marzo, se incrementa el importe del seguro colectivo de vida obligatorio (SCVO), tanto para el régimen general como para el régimen de trabajo agrario, en virtud de lo dispuesto por la </w:t>
      </w:r>
      <w:hyperlink r:id="rId38" w:history="1">
        <w:r>
          <w:rPr>
            <w:rStyle w:val="Hipervnculo"/>
            <w:rFonts w:ascii="Arial" w:eastAsia="Times New Roman" w:hAnsi="Arial" w:cs="Arial"/>
            <w:sz w:val="20"/>
            <w:szCs w:val="20"/>
          </w:rPr>
          <w:t>resolución (SSN) 39766/2016</w:t>
        </w:r>
      </w:hyperlink>
      <w:r>
        <w:rPr>
          <w:rFonts w:ascii="Arial" w:eastAsia="Times New Roman" w:hAnsi="Arial" w:cs="Arial"/>
          <w:color w:val="666666"/>
          <w:sz w:val="20"/>
          <w:szCs w:val="20"/>
        </w:rPr>
        <w:t xml:space="preserve"> y la </w:t>
      </w:r>
      <w:hyperlink r:id="rId39" w:history="1">
        <w:r>
          <w:rPr>
            <w:rStyle w:val="Hipervnculo"/>
            <w:rFonts w:ascii="Arial" w:eastAsia="Times New Roman" w:hAnsi="Arial" w:cs="Arial"/>
            <w:sz w:val="20"/>
            <w:szCs w:val="20"/>
          </w:rPr>
          <w:t>resolución (MF) 224-E/2017</w:t>
        </w:r>
      </w:hyperlink>
      <w:r>
        <w:rPr>
          <w:rFonts w:ascii="Arial" w:eastAsia="Times New Roman" w:hAnsi="Arial" w:cs="Arial"/>
          <w:color w:val="666666"/>
          <w:sz w:val="20"/>
          <w:szCs w:val="20"/>
        </w:rPr>
        <w:t xml:space="preserve">, que fijan el valor del SCVO en un monto equivalente a 5,5 salarios mínimos vitales y móviles (SMVM). </w:t>
      </w:r>
      <w:r>
        <w:rPr>
          <w:rFonts w:ascii="Arial" w:eastAsia="Times New Roman" w:hAnsi="Arial" w:cs="Arial"/>
          <w:color w:val="666666"/>
          <w:sz w:val="20"/>
          <w:szCs w:val="20"/>
        </w:rPr>
        <w:br/>
        <w:t xml:space="preserve">En consecuencia, y dado que el último importe del SMVM publicado asciende a $ 12.500, el nuevo valor de la suma asegurada a partir del mes de marzo de 2019 se incrementa a $ 68.750. </w:t>
      </w:r>
      <w:r>
        <w:rPr>
          <w:rFonts w:ascii="Arial" w:eastAsia="Times New Roman" w:hAnsi="Arial" w:cs="Arial"/>
          <w:color w:val="666666"/>
          <w:sz w:val="20"/>
          <w:szCs w:val="20"/>
        </w:rPr>
        <w:br/>
        <w:t xml:space="preserve">Para el empleador representa un incremento en el valor de la cobertura que abona mensualmente por cada trabajador, dado que este se calcula sobre la base del capital asegurado. </w:t>
      </w:r>
      <w:r>
        <w:rPr>
          <w:rFonts w:ascii="Arial" w:eastAsia="Times New Roman" w:hAnsi="Arial" w:cs="Arial"/>
          <w:color w:val="666666"/>
          <w:sz w:val="20"/>
          <w:szCs w:val="20"/>
        </w:rPr>
        <w:br/>
        <w:t>Entonces, a partir del 1 de marzo de 2019, el costo final que le insume al empleador contar con la cobertura de sus trabajadores pasa de $ 11,28 a $ 14,09 mensuales por trabajador:</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1422"/>
        <w:gridCol w:w="190"/>
        <w:gridCol w:w="812"/>
        <w:gridCol w:w="146"/>
        <w:gridCol w:w="1091"/>
        <w:gridCol w:w="207"/>
        <w:gridCol w:w="1477"/>
      </w:tblGrid>
      <w:tr w:rsidR="00D90A26" w:rsidTr="000A2897">
        <w:trPr>
          <w:tblCellSpacing w:w="15"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D90A26" w:rsidRDefault="00D90A26" w:rsidP="000A2897">
            <w:pPr>
              <w:jc w:val="center"/>
              <w:rPr>
                <w:rFonts w:eastAsia="Times New Roman"/>
              </w:rPr>
            </w:pPr>
            <w:r>
              <w:rPr>
                <w:rStyle w:val="Textoennegrita"/>
                <w:rFonts w:ascii="Arial" w:eastAsia="Times New Roman" w:hAnsi="Arial" w:cs="Arial"/>
                <w:sz w:val="20"/>
                <w:szCs w:val="20"/>
              </w:rPr>
              <w:t>Cálculo</w:t>
            </w:r>
          </w:p>
        </w:tc>
      </w:tr>
      <w:tr w:rsidR="00D90A26" w:rsidTr="000A289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sz w:val="20"/>
                <w:szCs w:val="20"/>
              </w:rPr>
              <w:lastRenderedPageBreak/>
              <w:t>Valor de suma asegurada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rPr>
                <w:rFonts w:asciiTheme="minorHAnsi" w:eastAsiaTheme="minorEastAsia" w:hAnsiTheme="minorHAnsi" w:cstheme="minorBid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sz w:val="20"/>
                <w:szCs w:val="20"/>
              </w:rPr>
              <w:t>Valor de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rPr>
                <w:rFonts w:asciiTheme="minorHAnsi" w:eastAsiaTheme="minorEastAsia" w:hAnsiTheme="minorHAnsi" w:cstheme="minorBid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sz w:val="20"/>
                <w:szCs w:val="20"/>
              </w:rPr>
              <w:t>Coeficiente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rPr>
                <w:rFonts w:asciiTheme="minorHAnsi" w:eastAsiaTheme="minorEastAsia" w:hAnsiTheme="minorHAnsi" w:cstheme="minorBidi"/>
              </w:rPr>
            </w:pPr>
          </w:p>
        </w:tc>
        <w:tc>
          <w:tcPr>
            <w:tcW w:w="0" w:type="auto"/>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D90A26" w:rsidRDefault="00D90A26" w:rsidP="000A2897">
            <w:pPr>
              <w:jc w:val="center"/>
              <w:rPr>
                <w:rFonts w:eastAsia="Times New Roman"/>
              </w:rPr>
            </w:pPr>
            <w:r>
              <w:rPr>
                <w:rStyle w:val="Textoennegrita"/>
                <w:rFonts w:ascii="Arial" w:eastAsia="Times New Roman" w:hAnsi="Arial" w:cs="Arial"/>
                <w:sz w:val="20"/>
                <w:szCs w:val="20"/>
              </w:rPr>
              <w:t>Total por cada trabajador</w:t>
            </w:r>
          </w:p>
        </w:tc>
      </w:tr>
      <w:tr w:rsidR="00D90A26" w:rsidTr="000A289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sz w:val="20"/>
                <w:szCs w:val="20"/>
              </w:rPr>
              <w:t>$ 68.750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sz w:val="20"/>
                <w:szCs w:val="20"/>
              </w:rPr>
              <w:t>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sz w:val="20"/>
                <w:szCs w:val="20"/>
              </w:rPr>
              <w:t>$ 0,205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sz w:val="20"/>
                <w:szCs w:val="20"/>
              </w:rPr>
              <w:t>$ 1.000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D90A26" w:rsidRDefault="00D90A26" w:rsidP="000A2897">
            <w:pPr>
              <w:jc w:val="center"/>
              <w:rPr>
                <w:rFonts w:eastAsia="Times New Roman"/>
              </w:rPr>
            </w:pPr>
            <w:r>
              <w:rPr>
                <w:rStyle w:val="Textoennegrita"/>
                <w:rFonts w:ascii="Arial" w:eastAsia="Times New Roman" w:hAnsi="Arial" w:cs="Arial"/>
                <w:sz w:val="20"/>
                <w:szCs w:val="20"/>
              </w:rPr>
              <w:t>$ 14,09</w:t>
            </w:r>
          </w:p>
        </w:tc>
      </w:tr>
    </w:tbl>
    <w:p w:rsidR="00D90A26" w:rsidRDefault="00D90A26" w:rsidP="00D90A26">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br/>
      </w:r>
      <w:r>
        <w:rPr>
          <w:rFonts w:ascii="Arial" w:eastAsia="Times New Roman" w:hAnsi="Arial" w:cs="Arial"/>
          <w:color w:val="666666"/>
          <w:sz w:val="20"/>
          <w:szCs w:val="20"/>
        </w:rPr>
        <w:br/>
        <w:t>Por otra parte, el artículo 11 del Anexo de la resolución (SSN) 39766/2016 dispone que el premio será declarado e ingresado directamente con las mismas modalidades, plazos y condiciones establecidos para el pago de los aportes y contribuciones con destino a la Seguridad Social, en función de la nómina del mes que se declara.</w:t>
      </w:r>
    </w:p>
    <w:p w:rsidR="00D90A26" w:rsidRDefault="00D90A26" w:rsidP="00D90A26">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En consecuencia, el nuevo valor de la prima debe ser incluido en el formulario F. 931 del mes de marzo de 2019.</w:t>
      </w:r>
    </w:p>
    <w:p w:rsidR="00D90A26" w:rsidRDefault="00D90A26" w:rsidP="00D90A26">
      <w:pPr>
        <w:pStyle w:val="texto8novedades"/>
        <w:spacing w:after="0" w:afterAutospacing="0"/>
        <w:rPr>
          <w:rFonts w:ascii="Arial" w:eastAsiaTheme="minorHAnsi" w:hAnsi="Arial" w:cs="Arial"/>
          <w:b/>
          <w:bCs/>
          <w:caps/>
          <w:color w:val="7E4F6F"/>
          <w:sz w:val="21"/>
          <w:szCs w:val="21"/>
        </w:rPr>
      </w:pPr>
      <w:r w:rsidRPr="00D90A26">
        <w:rPr>
          <w:rFonts w:ascii="Arial" w:eastAsiaTheme="minorHAnsi" w:hAnsi="Arial" w:cs="Arial"/>
          <w:b/>
          <w:bCs/>
          <w:caps/>
          <w:color w:val="7E4F6F"/>
          <w:sz w:val="21"/>
          <w:szCs w:val="21"/>
        </w:rPr>
        <w:t xml:space="preserve">Viáticos: </w:t>
      </w:r>
      <w:hyperlink r:id="rId40" w:tgtFrame="_blank" w:history="1">
        <w:r w:rsidRPr="00D90A26">
          <w:rPr>
            <w:rFonts w:ascii="Arial" w:eastAsiaTheme="minorHAnsi" w:hAnsi="Arial" w:cs="Arial"/>
            <w:b/>
            <w:bCs/>
            <w:caps/>
            <w:color w:val="7E4F6F"/>
            <w:sz w:val="21"/>
            <w:szCs w:val="21"/>
          </w:rPr>
          <w:t>Dict. (SRT) 221/2016</w:t>
        </w:r>
      </w:hyperlink>
    </w:p>
    <w:p w:rsidR="00D90A26" w:rsidRPr="00D90A26" w:rsidRDefault="00D90A26" w:rsidP="00D90A26">
      <w:pPr>
        <w:pStyle w:val="texto8novedades"/>
        <w:spacing w:line="360" w:lineRule="auto"/>
        <w:jc w:val="both"/>
        <w:rPr>
          <w:rFonts w:ascii="Arial" w:hAnsi="Arial" w:cs="Arial"/>
          <w:color w:val="666666"/>
          <w:sz w:val="20"/>
          <w:szCs w:val="20"/>
        </w:rPr>
      </w:pPr>
      <w:r w:rsidRPr="00D90A26">
        <w:rPr>
          <w:rFonts w:ascii="Arial" w:hAnsi="Arial" w:cs="Arial"/>
          <w:color w:val="666666"/>
          <w:sz w:val="20"/>
          <w:szCs w:val="20"/>
        </w:rPr>
        <w:t xml:space="preserve">se establece que los viáticos, en virtud de su carácter de beneficio social, no deben ser tenidos en cuenta para el cálculo del ingreso base ni para el pago del valor de la prestación dineraria en concepto de Incapacidad Laboral Temporaria (ILT) -conf. </w:t>
      </w:r>
      <w:proofErr w:type="gramStart"/>
      <w:r w:rsidRPr="00D90A26">
        <w:rPr>
          <w:rFonts w:ascii="Arial" w:hAnsi="Arial" w:cs="Arial"/>
          <w:color w:val="666666"/>
          <w:sz w:val="20"/>
          <w:szCs w:val="20"/>
        </w:rPr>
        <w:t>art</w:t>
      </w:r>
      <w:proofErr w:type="gramEnd"/>
      <w:r w:rsidRPr="00D90A26">
        <w:rPr>
          <w:rFonts w:ascii="Arial" w:hAnsi="Arial" w:cs="Arial"/>
          <w:color w:val="666666"/>
          <w:sz w:val="20"/>
          <w:szCs w:val="20"/>
        </w:rPr>
        <w:t>. 208, LCT-, en consecuencia, tampoco serán tenidos en cuenta al tiempo de efectuar la base imponible de la alícuota, dado que ellos no serían un riesgo asumido por la aseguradora de riesgos del trabajo (ART).</w:t>
      </w:r>
    </w:p>
    <w:p w:rsidR="00D90A26" w:rsidRDefault="00D90A26" w:rsidP="00D90A26">
      <w:pPr>
        <w:spacing w:after="240" w:line="360" w:lineRule="auto"/>
        <w:jc w:val="both"/>
        <w:rPr>
          <w:rFonts w:ascii="Arial" w:eastAsia="Times New Roman" w:hAnsi="Arial" w:cs="Arial"/>
          <w:color w:val="666666"/>
          <w:sz w:val="20"/>
          <w:szCs w:val="20"/>
        </w:rPr>
      </w:pPr>
    </w:p>
    <w:p w:rsidR="00D90A26" w:rsidRPr="00D90A26" w:rsidRDefault="00D90A26" w:rsidP="00D90A26">
      <w:pPr>
        <w:spacing w:after="240" w:line="360" w:lineRule="auto"/>
        <w:jc w:val="center"/>
        <w:rPr>
          <w:rFonts w:ascii="Arial" w:hAnsi="Arial" w:cs="Arial"/>
          <w:b/>
          <w:bCs/>
          <w:caps/>
          <w:color w:val="7F870A"/>
          <w:sz w:val="21"/>
          <w:szCs w:val="21"/>
          <w:lang w:val="es-AR"/>
        </w:rPr>
      </w:pPr>
      <w:r w:rsidRPr="00D90A26">
        <w:rPr>
          <w:rFonts w:ascii="Arial" w:hAnsi="Arial" w:cs="Arial"/>
          <w:b/>
          <w:bCs/>
          <w:caps/>
          <w:color w:val="7F870A"/>
          <w:sz w:val="21"/>
          <w:szCs w:val="21"/>
          <w:lang w:val="es-AR"/>
        </w:rPr>
        <w:t>SOCIEDADES</w:t>
      </w:r>
    </w:p>
    <w:p w:rsidR="00D90A26" w:rsidRDefault="00D90A26" w:rsidP="00D90A26">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r>
        <w:rPr>
          <w:rFonts w:ascii="Arial" w:hAnsi="Arial" w:cs="Arial"/>
          <w:b/>
          <w:bCs/>
          <w:caps/>
          <w:color w:val="7F870A"/>
          <w:sz w:val="21"/>
          <w:szCs w:val="21"/>
          <w:lang w:val="es-AR"/>
        </w:rPr>
        <w:t>PEDIDO DE QUIEBRA. EXIGIBILIDAD ACTUAL. FACTURAS DE VENTA. VALOR PROBATORIO</w:t>
      </w:r>
    </w:p>
    <w:p w:rsidR="00D90A26" w:rsidRDefault="00D90A26" w:rsidP="00D90A26">
      <w:pPr>
        <w:pStyle w:val="NormalWeb"/>
        <w:spacing w:before="0" w:beforeAutospacing="0" w:after="0" w:afterAutospacing="0" w:line="360" w:lineRule="auto"/>
        <w:jc w:val="both"/>
        <w:rPr>
          <w:rFonts w:ascii="Arial" w:eastAsia="Times New Roman" w:hAnsi="Arial" w:cs="Arial"/>
          <w:color w:val="666666"/>
          <w:sz w:val="17"/>
          <w:szCs w:val="17"/>
          <w:lang w:val="es-AR"/>
        </w:rPr>
      </w:pPr>
      <w:r>
        <w:rPr>
          <w:rFonts w:ascii="Arial" w:eastAsia="Times New Roman" w:hAnsi="Arial" w:cs="Arial"/>
          <w:color w:val="666666"/>
          <w:sz w:val="20"/>
          <w:szCs w:val="20"/>
          <w:lang w:val="es-AR"/>
        </w:rPr>
        <w:t xml:space="preserve">Se confirma la decisión que desestimó un pedido de quiebra, al valorarse que la documental que lo sustentaba no era hábil, ya que las facturas de venta, al ser documentos emitidos unilateralmente, carecían de la fuerza </w:t>
      </w:r>
      <w:proofErr w:type="spellStart"/>
      <w:r>
        <w:rPr>
          <w:rFonts w:ascii="Arial" w:eastAsia="Times New Roman" w:hAnsi="Arial" w:cs="Arial"/>
          <w:color w:val="666666"/>
          <w:sz w:val="20"/>
          <w:szCs w:val="20"/>
          <w:lang w:val="es-AR"/>
        </w:rPr>
        <w:t>convictiva</w:t>
      </w:r>
      <w:proofErr w:type="spellEnd"/>
      <w:r>
        <w:rPr>
          <w:rFonts w:ascii="Arial" w:eastAsia="Times New Roman" w:hAnsi="Arial" w:cs="Arial"/>
          <w:color w:val="666666"/>
          <w:sz w:val="20"/>
          <w:szCs w:val="20"/>
          <w:lang w:val="es-AR"/>
        </w:rPr>
        <w:t xml:space="preserve"> necesaria para dar trámite a dicho pedido, al no ser constitutivas de derechos autónomos para las partes, sino mera sustentación probatoria que en algunos casos podía llevar a una presunción sobre cuentas liquidadas, pero no a una certeza que permitiera su </w:t>
      </w:r>
      <w:proofErr w:type="spellStart"/>
      <w:r>
        <w:rPr>
          <w:rFonts w:ascii="Arial" w:eastAsia="Times New Roman" w:hAnsi="Arial" w:cs="Arial"/>
          <w:color w:val="666666"/>
          <w:sz w:val="20"/>
          <w:szCs w:val="20"/>
          <w:lang w:val="es-AR"/>
        </w:rPr>
        <w:t>ejecutabilidad</w:t>
      </w:r>
      <w:proofErr w:type="spellEnd"/>
      <w:r>
        <w:rPr>
          <w:rFonts w:ascii="Arial" w:eastAsia="Times New Roman" w:hAnsi="Arial" w:cs="Arial"/>
          <w:color w:val="666666"/>
          <w:sz w:val="20"/>
          <w:szCs w:val="20"/>
          <w:lang w:val="es-AR"/>
        </w:rPr>
        <w:t>.</w:t>
      </w:r>
      <w:r>
        <w:rPr>
          <w:rFonts w:ascii="Arial" w:eastAsia="Times New Roman" w:hAnsi="Arial" w:cs="Arial"/>
          <w:color w:val="666666"/>
          <w:sz w:val="17"/>
          <w:szCs w:val="17"/>
          <w:lang w:val="es-AR"/>
        </w:rPr>
        <w:t xml:space="preserve"> </w:t>
      </w:r>
    </w:p>
    <w:p w:rsidR="00D90A26" w:rsidRPr="00D90A26" w:rsidRDefault="00D90A26" w:rsidP="00D90A26">
      <w:pPr>
        <w:pStyle w:val="NormalWeb"/>
        <w:spacing w:before="0" w:beforeAutospacing="0" w:after="0" w:afterAutospacing="0" w:line="360" w:lineRule="auto"/>
        <w:jc w:val="both"/>
        <w:rPr>
          <w:rFonts w:ascii="Arial" w:eastAsia="Times New Roman" w:hAnsi="Arial" w:cs="Arial"/>
          <w:color w:val="666666"/>
          <w:sz w:val="14"/>
          <w:szCs w:val="14"/>
          <w:lang w:val="es-AR"/>
        </w:rPr>
      </w:pPr>
      <w:r w:rsidRPr="00D90A26">
        <w:rPr>
          <w:rFonts w:ascii="Arial" w:eastAsia="Times New Roman" w:hAnsi="Arial" w:cs="Arial"/>
          <w:color w:val="666666"/>
          <w:sz w:val="14"/>
          <w:szCs w:val="14"/>
          <w:lang w:val="es-AR"/>
        </w:rPr>
        <w:t>LOS YAROS AGROPECUARIA SA LE PIDE LA QUIEBRA TONELLI, PABLO - CÁM. NAC. COM. - SALA F - 13/12/2018</w:t>
      </w:r>
    </w:p>
    <w:p w:rsidR="00D90A26" w:rsidRDefault="00D90A26" w:rsidP="00D90A26">
      <w:pPr>
        <w:pStyle w:val="NormalWeb"/>
        <w:spacing w:before="0" w:beforeAutospacing="0" w:after="0" w:afterAutospacing="0"/>
        <w:jc w:val="both"/>
        <w:rPr>
          <w:rFonts w:ascii="Arial" w:eastAsia="Times New Roman" w:hAnsi="Arial" w:cs="Arial"/>
          <w:color w:val="666666"/>
          <w:sz w:val="17"/>
          <w:szCs w:val="17"/>
          <w:lang w:val="es-AR"/>
        </w:rPr>
      </w:pPr>
    </w:p>
    <w:p w:rsidR="00D90A26" w:rsidRDefault="00D90A26" w:rsidP="00D90A26">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r>
        <w:rPr>
          <w:rFonts w:ascii="Arial" w:hAnsi="Arial" w:cs="Arial"/>
          <w:b/>
          <w:bCs/>
          <w:caps/>
          <w:color w:val="7F870A"/>
          <w:sz w:val="21"/>
          <w:szCs w:val="21"/>
          <w:lang w:val="es-AR"/>
        </w:rPr>
        <w:t>ADMINISTRACIÓN Y REPRESENTACIÓN. REGISTROS LABORALES. EXTENSIÓN DE RESPONSABILIDAD A SOCIO GERENTE</w:t>
      </w:r>
    </w:p>
    <w:p w:rsidR="00D90A26" w:rsidRDefault="00D90A26" w:rsidP="00D90A26">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p>
    <w:p w:rsidR="00D90A26" w:rsidRDefault="00D90A26" w:rsidP="00D90A26">
      <w:pPr>
        <w:spacing w:line="360" w:lineRule="auto"/>
        <w:jc w:val="both"/>
        <w:rPr>
          <w:rFonts w:ascii="Arial" w:eastAsia="Times New Roman" w:hAnsi="Arial" w:cs="Arial"/>
          <w:color w:val="666666"/>
          <w:sz w:val="17"/>
          <w:szCs w:val="17"/>
          <w:lang w:val="es-AR"/>
        </w:rPr>
      </w:pPr>
      <w:r>
        <w:rPr>
          <w:rFonts w:ascii="Arial" w:eastAsia="Times New Roman" w:hAnsi="Arial" w:cs="Arial"/>
          <w:color w:val="666666"/>
          <w:sz w:val="20"/>
          <w:szCs w:val="20"/>
          <w:lang w:val="es-AR"/>
        </w:rPr>
        <w:t xml:space="preserve">La codemandada, en su condición de socio gerente, ha incumplido con el deber de obrar con lealtad y con la diligencia de un hombre de negocios que impone el artículo 59 de la ley de sociedades, pues ha quedado demostrado que el actor fue registrado en los libros contables de la </w:t>
      </w:r>
      <w:r>
        <w:rPr>
          <w:rFonts w:ascii="Arial" w:eastAsia="Times New Roman" w:hAnsi="Arial" w:cs="Arial"/>
          <w:color w:val="666666"/>
          <w:sz w:val="20"/>
          <w:szCs w:val="20"/>
          <w:lang w:val="es-AR"/>
        </w:rPr>
        <w:lastRenderedPageBreak/>
        <w:t>empresa en una fecha posterior a la que realmente ingresó. Es por ello que corresponde confirmar la condena dispuesta en su contra, en forma personal y solidaria.</w:t>
      </w:r>
      <w:r>
        <w:rPr>
          <w:rFonts w:ascii="Arial" w:eastAsia="Times New Roman" w:hAnsi="Arial" w:cs="Arial"/>
          <w:color w:val="666666"/>
          <w:sz w:val="17"/>
          <w:szCs w:val="17"/>
          <w:lang w:val="es-AR"/>
        </w:rPr>
        <w:t xml:space="preserve"> </w:t>
      </w:r>
    </w:p>
    <w:p w:rsidR="00D90A26" w:rsidRDefault="00D90A26" w:rsidP="00D90A26">
      <w:pPr>
        <w:spacing w:line="360" w:lineRule="auto"/>
        <w:jc w:val="both"/>
        <w:rPr>
          <w:rFonts w:ascii="Arial" w:eastAsia="Times New Roman" w:hAnsi="Arial" w:cs="Arial"/>
          <w:color w:val="666666"/>
          <w:sz w:val="14"/>
          <w:szCs w:val="14"/>
          <w:lang w:val="es-AR"/>
        </w:rPr>
      </w:pPr>
      <w:r w:rsidRPr="00D90A26">
        <w:rPr>
          <w:rFonts w:ascii="Arial" w:eastAsia="Times New Roman" w:hAnsi="Arial" w:cs="Arial"/>
          <w:color w:val="666666"/>
          <w:sz w:val="14"/>
          <w:szCs w:val="14"/>
          <w:lang w:val="es-AR"/>
        </w:rPr>
        <w:t>OTERMIN, FERNANDA MARIEL C/WYN SRL Y OTRO S/DESPIDO - CÁM. NAC. TRAB. - SALA VII - 26/02/201</w:t>
      </w:r>
    </w:p>
    <w:p w:rsidR="00D90A26" w:rsidRPr="00D90A26" w:rsidRDefault="00D90A26" w:rsidP="00D90A26">
      <w:pPr>
        <w:spacing w:line="360" w:lineRule="auto"/>
        <w:jc w:val="both"/>
        <w:rPr>
          <w:rFonts w:ascii="Arial" w:eastAsia="Times New Roman" w:hAnsi="Arial" w:cs="Arial"/>
          <w:color w:val="666666"/>
          <w:sz w:val="14"/>
          <w:szCs w:val="14"/>
          <w:lang w:val="es-AR"/>
        </w:rPr>
      </w:pPr>
    </w:p>
    <w:tbl>
      <w:tblPr>
        <w:tblW w:w="5000" w:type="pct"/>
        <w:jc w:val="center"/>
        <w:tblCellSpacing w:w="0" w:type="dxa"/>
        <w:tblCellMar>
          <w:left w:w="0" w:type="dxa"/>
          <w:right w:w="0" w:type="dxa"/>
        </w:tblCellMar>
        <w:tblLook w:val="04A0"/>
      </w:tblPr>
      <w:tblGrid>
        <w:gridCol w:w="9149"/>
      </w:tblGrid>
      <w:tr w:rsidR="00D90A26" w:rsidTr="00D90A26">
        <w:trPr>
          <w:tblCellSpacing w:w="0" w:type="dxa"/>
          <w:jc w:val="center"/>
        </w:trPr>
        <w:tc>
          <w:tcPr>
            <w:tcW w:w="0" w:type="auto"/>
            <w:tcBorders>
              <w:top w:val="nil"/>
              <w:left w:val="single" w:sz="24" w:space="0" w:color="9DAFA8"/>
              <w:bottom w:val="nil"/>
              <w:right w:val="nil"/>
            </w:tcBorders>
            <w:shd w:val="clear" w:color="auto" w:fill="FDE9D9" w:themeFill="accent6" w:themeFillTint="33"/>
            <w:tcMar>
              <w:top w:w="150" w:type="dxa"/>
              <w:left w:w="150" w:type="dxa"/>
              <w:bottom w:w="150" w:type="dxa"/>
              <w:right w:w="150" w:type="dxa"/>
            </w:tcMar>
            <w:vAlign w:val="center"/>
            <w:hideMark/>
          </w:tcPr>
          <w:p w:rsidR="00D90A26" w:rsidRDefault="00D90A26" w:rsidP="000A2897">
            <w:pPr>
              <w:spacing w:after="15"/>
              <w:rPr>
                <w:rFonts w:ascii="Arial" w:eastAsia="Times New Roman" w:hAnsi="Arial" w:cs="Arial"/>
                <w:b/>
                <w:bCs/>
                <w:caps/>
                <w:color w:val="FFFFFF"/>
              </w:rPr>
            </w:pPr>
            <w:r w:rsidRPr="00D90A26">
              <w:rPr>
                <w:rFonts w:ascii="Arial" w:hAnsi="Arial" w:cs="Arial"/>
                <w:b/>
                <w:bCs/>
                <w:caps/>
                <w:color w:val="376889"/>
                <w:sz w:val="21"/>
                <w:szCs w:val="21"/>
              </w:rPr>
              <w:t>INDEC. Variación porcentual</w:t>
            </w:r>
          </w:p>
        </w:tc>
      </w:tr>
      <w:tr w:rsidR="00D90A26" w:rsidTr="00D90A26">
        <w:trPr>
          <w:tblCellSpacing w:w="0" w:type="dxa"/>
          <w:jc w:val="center"/>
        </w:trPr>
        <w:tc>
          <w:tcPr>
            <w:tcW w:w="5000" w:type="pct"/>
            <w:tcBorders>
              <w:top w:val="nil"/>
              <w:left w:val="single" w:sz="24" w:space="0" w:color="D8E0DD"/>
              <w:bottom w:val="nil"/>
              <w:right w:val="nil"/>
            </w:tcBorders>
            <w:shd w:val="clear" w:color="auto" w:fill="FDE9D9" w:themeFill="accent6" w:themeFillTint="33"/>
            <w:tcMar>
              <w:top w:w="150" w:type="dxa"/>
              <w:left w:w="150" w:type="dxa"/>
              <w:bottom w:w="150" w:type="dxa"/>
              <w:right w:w="150" w:type="dxa"/>
            </w:tcMar>
            <w:vAlign w:val="center"/>
            <w:hideMark/>
          </w:tcPr>
          <w:p w:rsidR="00D90A26" w:rsidRDefault="00D90A26" w:rsidP="000A2897">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SISTEMA DE ÍNDICES DE PRECIOS MAYORISTAS (SIPM). ÍNDICE DEL COSTO DE LA CONSTRUCCIÓN (ICC). ÍNDICE DE PRECIOS AL CONSUMIDOR (IPC). FEBRERO DE 2019</w:t>
            </w:r>
          </w:p>
          <w:p w:rsidR="00D90A26" w:rsidRDefault="00D90A26" w:rsidP="000A2897">
            <w:pPr>
              <w:pStyle w:val="NormalWeb"/>
              <w:spacing w:before="0" w:beforeAutospacing="0" w:after="0" w:afterAutospacing="0"/>
              <w:jc w:val="both"/>
              <w:rPr>
                <w:rFonts w:ascii="Arial" w:hAnsi="Arial" w:cs="Arial"/>
                <w:b/>
                <w:bCs/>
                <w:caps/>
                <w:color w:val="376889"/>
                <w:sz w:val="21"/>
                <w:szCs w:val="21"/>
              </w:rPr>
            </w:pPr>
          </w:p>
          <w:p w:rsidR="00D90A26" w:rsidRDefault="00D90A26" w:rsidP="00D90A26">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El Instituto Nacional de Estadística y Censos (INDEC) ha difundido la variación porcentual de los "Índices de Precios Mayoristas" (SIPM), "Índice del Costo de la Construcción" (ICC) e “Índice de Precios al Consumidor” (IPC) para el mes de febrero de 2019: </w:t>
            </w:r>
          </w:p>
          <w:tbl>
            <w:tblPr>
              <w:tblW w:w="2561"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564"/>
              <w:gridCol w:w="1930"/>
            </w:tblGrid>
            <w:tr w:rsidR="00D90A26" w:rsidTr="00D90A26">
              <w:trPr>
                <w:trHeight w:val="510"/>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Style w:val="Textoennegrita"/>
                      <w:rFonts w:ascii="Arial" w:eastAsia="Times New Roman" w:hAnsi="Arial" w:cs="Arial"/>
                      <w:color w:val="666666"/>
                      <w:sz w:val="20"/>
                      <w:szCs w:val="20"/>
                    </w:rPr>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Style w:val="Textoennegrita"/>
                      <w:rFonts w:ascii="Arial" w:eastAsia="Times New Roman" w:hAnsi="Arial" w:cs="Arial"/>
                      <w:color w:val="666666"/>
                      <w:sz w:val="20"/>
                      <w:szCs w:val="20"/>
                    </w:rPr>
                    <w:t>Febrero 2019 (*)</w:t>
                  </w:r>
                </w:p>
              </w:tc>
            </w:tr>
            <w:tr w:rsidR="00D90A26" w:rsidTr="00D90A26">
              <w:trPr>
                <w:trHeight w:val="147"/>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A26" w:rsidRDefault="00D90A26" w:rsidP="000A289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Style w:val="Textoennegrita"/>
                      <w:rFonts w:ascii="Arial" w:eastAsia="Times New Roman" w:hAnsi="Arial" w:cs="Arial"/>
                      <w:color w:val="666666"/>
                      <w:sz w:val="20"/>
                      <w:szCs w:val="20"/>
                    </w:rPr>
                    <w:t>Variación % respecto al mes anterior</w:t>
                  </w:r>
                </w:p>
              </w:tc>
            </w:tr>
            <w:tr w:rsidR="00D90A26" w:rsidTr="00D90A26">
              <w:trPr>
                <w:trHeight w:val="70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3,4</w:t>
                  </w:r>
                </w:p>
              </w:tc>
            </w:tr>
            <w:tr w:rsidR="00D90A26" w:rsidTr="00D90A26">
              <w:trPr>
                <w:trHeight w:val="70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3,3</w:t>
                  </w:r>
                </w:p>
              </w:tc>
            </w:tr>
            <w:tr w:rsidR="00D90A26" w:rsidTr="00D90A26">
              <w:trPr>
                <w:trHeight w:val="70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3,2</w:t>
                  </w:r>
                </w:p>
              </w:tc>
            </w:tr>
            <w:tr w:rsidR="00D90A26" w:rsidTr="00D90A26">
              <w:trPr>
                <w:trHeight w:val="70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1,4</w:t>
                  </w:r>
                </w:p>
              </w:tc>
            </w:tr>
            <w:tr w:rsidR="00D90A26" w:rsidTr="00D90A26">
              <w:trPr>
                <w:trHeight w:val="469"/>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0A26" w:rsidRDefault="00D90A26" w:rsidP="000A2897">
                  <w:pPr>
                    <w:jc w:val="center"/>
                    <w:rPr>
                      <w:rFonts w:eastAsia="Times New Roman"/>
                    </w:rPr>
                  </w:pPr>
                  <w:r>
                    <w:rPr>
                      <w:rFonts w:ascii="Arial" w:eastAsia="Times New Roman" w:hAnsi="Arial" w:cs="Arial"/>
                      <w:color w:val="666666"/>
                      <w:sz w:val="20"/>
                      <w:szCs w:val="20"/>
                    </w:rPr>
                    <w:t>3,8</w:t>
                  </w:r>
                </w:p>
              </w:tc>
            </w:tr>
          </w:tbl>
          <w:p w:rsidR="00D90A26" w:rsidRDefault="00D90A26" w:rsidP="000A2897">
            <w:pPr>
              <w:jc w:val="both"/>
              <w:rPr>
                <w:rFonts w:ascii="Arial" w:eastAsia="Times New Roman" w:hAnsi="Arial" w:cs="Arial"/>
                <w:color w:val="666666"/>
                <w:sz w:val="17"/>
                <w:szCs w:val="17"/>
              </w:rPr>
            </w:pPr>
            <w:r>
              <w:rPr>
                <w:rFonts w:ascii="Arial" w:eastAsia="Times New Roman" w:hAnsi="Arial" w:cs="Arial"/>
                <w:color w:val="666666"/>
                <w:sz w:val="20"/>
                <w:szCs w:val="20"/>
              </w:rPr>
              <w:br/>
              <w:t xml:space="preserve">(*) Dato provisorio </w:t>
            </w:r>
          </w:p>
        </w:tc>
      </w:tr>
    </w:tbl>
    <w:p w:rsidR="00D90A26" w:rsidRDefault="00D90A26" w:rsidP="00866BC8">
      <w:pPr>
        <w:spacing w:line="360" w:lineRule="auto"/>
        <w:jc w:val="both"/>
        <w:rPr>
          <w:rFonts w:ascii="Arial" w:eastAsia="Times New Roman" w:hAnsi="Arial" w:cs="Arial"/>
          <w:color w:val="666666"/>
          <w:sz w:val="20"/>
          <w:szCs w:val="20"/>
        </w:rPr>
      </w:pPr>
    </w:p>
    <w:sectPr w:rsidR="00D90A26" w:rsidSect="002A1585">
      <w:headerReference w:type="default" r:id="rId41"/>
      <w:footerReference w:type="default" r:id="rId4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7D1" w:rsidRDefault="004407D1" w:rsidP="00A22916">
      <w:r>
        <w:separator/>
      </w:r>
    </w:p>
  </w:endnote>
  <w:endnote w:type="continuationSeparator" w:id="0">
    <w:p w:rsidR="004407D1" w:rsidRDefault="004407D1"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7D1" w:rsidRDefault="004407D1"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255FEE" w:rsidRPr="00255FEE">
        <w:rPr>
          <w:rFonts w:asciiTheme="majorHAnsi" w:hAnsiTheme="majorHAnsi"/>
          <w:noProof/>
        </w:rPr>
        <w:t>1</w:t>
      </w:r>
    </w:fldSimple>
  </w:p>
  <w:p w:rsidR="004407D1" w:rsidRDefault="004407D1" w:rsidP="0063669F">
    <w:pPr>
      <w:pStyle w:val="Piedepgina"/>
    </w:pPr>
  </w:p>
  <w:p w:rsidR="004407D1" w:rsidRDefault="004407D1" w:rsidP="0063669F">
    <w:pPr>
      <w:pStyle w:val="Piedepgina"/>
    </w:pPr>
  </w:p>
  <w:p w:rsidR="004407D1" w:rsidRDefault="004407D1"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7D1" w:rsidRDefault="004407D1" w:rsidP="00A22916">
      <w:r>
        <w:separator/>
      </w:r>
    </w:p>
  </w:footnote>
  <w:footnote w:type="continuationSeparator" w:id="0">
    <w:p w:rsidR="004407D1" w:rsidRDefault="004407D1"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7D1" w:rsidRDefault="004407D1"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12-19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5FEE"/>
    <w:rsid w:val="00257FF4"/>
    <w:rsid w:val="002623BD"/>
    <w:rsid w:val="002624C4"/>
    <w:rsid w:val="0026302D"/>
    <w:rsid w:val="002638FA"/>
    <w:rsid w:val="0026757F"/>
    <w:rsid w:val="00270353"/>
    <w:rsid w:val="00271C49"/>
    <w:rsid w:val="00273972"/>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07D1"/>
    <w:rsid w:val="00443CD0"/>
    <w:rsid w:val="004503E0"/>
    <w:rsid w:val="00450B7D"/>
    <w:rsid w:val="00455005"/>
    <w:rsid w:val="00455EBD"/>
    <w:rsid w:val="00456DA9"/>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50DD9"/>
    <w:rsid w:val="00856675"/>
    <w:rsid w:val="00857156"/>
    <w:rsid w:val="0086182D"/>
    <w:rsid w:val="00861F2E"/>
    <w:rsid w:val="008637DE"/>
    <w:rsid w:val="00865723"/>
    <w:rsid w:val="00865DEA"/>
    <w:rsid w:val="00866BC8"/>
    <w:rsid w:val="00872D6C"/>
    <w:rsid w:val="0087497C"/>
    <w:rsid w:val="008753DB"/>
    <w:rsid w:val="0087707A"/>
    <w:rsid w:val="008865E4"/>
    <w:rsid w:val="0088764F"/>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2026"/>
    <w:rsid w:val="00E5555E"/>
    <w:rsid w:val="00E576B6"/>
    <w:rsid w:val="00E57F81"/>
    <w:rsid w:val="00E61074"/>
    <w:rsid w:val="00E661C4"/>
    <w:rsid w:val="00E66BAC"/>
    <w:rsid w:val="00E678DD"/>
    <w:rsid w:val="00E700E6"/>
    <w:rsid w:val="00E711B8"/>
    <w:rsid w:val="00E76F6B"/>
    <w:rsid w:val="00E77486"/>
    <w:rsid w:val="00E80ADB"/>
    <w:rsid w:val="00E810A9"/>
    <w:rsid w:val="00E825AE"/>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errepar.com/sitios/ver/html/20190318075402639.html" TargetMode="External"/><Relationship Id="rId13" Type="http://schemas.openxmlformats.org/officeDocument/2006/relationships/hyperlink" Target="http://eol.errepar.com/sitios/ver/html/20190318075402639.html" TargetMode="External"/><Relationship Id="rId18" Type="http://schemas.openxmlformats.org/officeDocument/2006/relationships/hyperlink" Target="http://eol.errepar.com/sitios/ver/html/20190306110043864.html" TargetMode="External"/><Relationship Id="rId26" Type="http://schemas.openxmlformats.org/officeDocument/2006/relationships/hyperlink" Target="http://eol.errepar.com/sitios/ver/html/20190306110043864.html" TargetMode="External"/><Relationship Id="rId39" Type="http://schemas.openxmlformats.org/officeDocument/2006/relationships/hyperlink" Target="http://click.erreparmail.com/access.epl?shopperID=931514&amp;actionCode=50075&amp;enterCode=5" TargetMode="External"/><Relationship Id="rId3" Type="http://schemas.openxmlformats.org/officeDocument/2006/relationships/styles" Target="styles.xml"/><Relationship Id="rId21" Type="http://schemas.openxmlformats.org/officeDocument/2006/relationships/hyperlink" Target="http://eol.errepar.com/sitios/ver/html/20190306110043864.html" TargetMode="External"/><Relationship Id="rId34" Type="http://schemas.openxmlformats.org/officeDocument/2006/relationships/hyperlink" Target="http://eolgestion.errepar.com/sitios/eolgestion/Legislacion/20110807090726778.docx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ol.errepar.com/sitios/ver/html/20190318075402639.html" TargetMode="External"/><Relationship Id="rId17" Type="http://schemas.openxmlformats.org/officeDocument/2006/relationships/hyperlink" Target="http://eol.errepar.com/sitios/ver/html/20190306110043864.html" TargetMode="External"/><Relationship Id="rId25" Type="http://schemas.openxmlformats.org/officeDocument/2006/relationships/hyperlink" Target="http://eol.errepar.com/sitios/ver/html/20190306110043864.html" TargetMode="External"/><Relationship Id="rId33" Type="http://schemas.openxmlformats.org/officeDocument/2006/relationships/hyperlink" Target="http://eolgestion.errepar.com/sitios/eolgestion/Legislacion/20110807090629213.docxhtml" TargetMode="External"/><Relationship Id="rId38" Type="http://schemas.openxmlformats.org/officeDocument/2006/relationships/hyperlink" Target="http://click.erreparmail.com/access.epl?shopperID=931514&amp;actionCode=50075&amp;enterCode=4" TargetMode="External"/><Relationship Id="rId2" Type="http://schemas.openxmlformats.org/officeDocument/2006/relationships/numbering" Target="numbering.xml"/><Relationship Id="rId16" Type="http://schemas.openxmlformats.org/officeDocument/2006/relationships/hyperlink" Target="http://eol.errepar.com/sitios/ver/html/20190306110043864.html" TargetMode="External"/><Relationship Id="rId20" Type="http://schemas.openxmlformats.org/officeDocument/2006/relationships/hyperlink" Target="http://eol.errepar.com/sitios/ver/html/20190306110043864.html" TargetMode="External"/><Relationship Id="rId29" Type="http://schemas.openxmlformats.org/officeDocument/2006/relationships/hyperlink" Target="http://eolgestion.errepar.com/sitios/eolgestion/Legislacion/20190306070356606.docx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190318075402639.html" TargetMode="External"/><Relationship Id="rId24" Type="http://schemas.openxmlformats.org/officeDocument/2006/relationships/hyperlink" Target="http://eol.errepar.com/sitios/ver/html/20190306110043864.html" TargetMode="External"/><Relationship Id="rId32" Type="http://schemas.openxmlformats.org/officeDocument/2006/relationships/hyperlink" Target="http://eolgestion.errepar.com/sitios/eolgestion/Legislacion/20160810074845237.docxhtml" TargetMode="External"/><Relationship Id="rId37" Type="http://schemas.openxmlformats.org/officeDocument/2006/relationships/hyperlink" Target="http://eolgestion.errepar.com/sitios/eolgestion/Legislacion/20150331151032743.docxhtml" TargetMode="External"/><Relationship Id="rId40" Type="http://schemas.openxmlformats.org/officeDocument/2006/relationships/hyperlink" Target="http://eolgestion.errepar.com/sitios/eolgestion/Legislacion/20160630153057700.docxhtml" TargetMode="External"/><Relationship Id="rId5" Type="http://schemas.openxmlformats.org/officeDocument/2006/relationships/webSettings" Target="webSettings.xml"/><Relationship Id="rId15" Type="http://schemas.openxmlformats.org/officeDocument/2006/relationships/hyperlink" Target="http://eol.errepar.com/sitios/ver/html/20190306110043864.html" TargetMode="External"/><Relationship Id="rId23" Type="http://schemas.openxmlformats.org/officeDocument/2006/relationships/hyperlink" Target="http://eol.errepar.com/sitios/ver/html/20190306110043864.html" TargetMode="External"/><Relationship Id="rId28" Type="http://schemas.openxmlformats.org/officeDocument/2006/relationships/hyperlink" Target="http://eolgestion.errepar.com/sitios/eolgestion/Legislacion/20171222080355043.docxhtml" TargetMode="External"/><Relationship Id="rId36" Type="http://schemas.openxmlformats.org/officeDocument/2006/relationships/hyperlink" Target="http://eolgestion.errepar.com/sitios/eolgestion/Legislacion/20140411073844768.docxhtml" TargetMode="External"/><Relationship Id="rId10" Type="http://schemas.openxmlformats.org/officeDocument/2006/relationships/hyperlink" Target="http://eol.errepar.com/sitios/ver/html/20190318075402639.html" TargetMode="External"/><Relationship Id="rId19" Type="http://schemas.openxmlformats.org/officeDocument/2006/relationships/hyperlink" Target="http://eol.errepar.com/sitios/ver/html/20190306110043864.html" TargetMode="External"/><Relationship Id="rId31" Type="http://schemas.openxmlformats.org/officeDocument/2006/relationships/hyperlink" Target="http://eolgestion.errepar.com/sitios/eolgestion/Legislacion/20181203070756494.docx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ol.errepar.com/sitios/ver/html/20190318075402639.html" TargetMode="External"/><Relationship Id="rId14" Type="http://schemas.openxmlformats.org/officeDocument/2006/relationships/hyperlink" Target="http://eol.errepar.com/sitios/ver/html/20190306110043864.html" TargetMode="External"/><Relationship Id="rId22" Type="http://schemas.openxmlformats.org/officeDocument/2006/relationships/hyperlink" Target="http://eol.errepar.com/sitios/ver/html/20190306110043864.html" TargetMode="External"/><Relationship Id="rId27" Type="http://schemas.openxmlformats.org/officeDocument/2006/relationships/hyperlink" Target="http://eol.errepar.com/sitios/ver/html/20190306110043864.html" TargetMode="External"/><Relationship Id="rId30" Type="http://schemas.openxmlformats.org/officeDocument/2006/relationships/hyperlink" Target="http://eolgestion.errepar.com/sitios/eolgestion/Legislacion/20110807090629213.docxhtml" TargetMode="External"/><Relationship Id="rId35" Type="http://schemas.openxmlformats.org/officeDocument/2006/relationships/hyperlink" Target="http://eolgestion.errepar.com/sitios/eolgestion/Legislacion/20121026072026561.docxhtm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28124-5E75-4E3B-BC78-41C5DD28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2472</Words>
  <Characters>13599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2</cp:revision>
  <dcterms:created xsi:type="dcterms:W3CDTF">2019-03-29T19:57:00Z</dcterms:created>
  <dcterms:modified xsi:type="dcterms:W3CDTF">2019-03-29T19:57:00Z</dcterms:modified>
</cp:coreProperties>
</file>